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E97D2B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2468A">
        <w:rPr>
          <w:rFonts w:ascii="Times New Roman" w:hAnsi="Times New Roman"/>
          <w:b/>
          <w:iCs/>
        </w:rPr>
        <w:t>0</w:t>
      </w:r>
      <w:r w:rsidR="00E97D2B">
        <w:rPr>
          <w:rFonts w:ascii="Times New Roman" w:hAnsi="Times New Roman"/>
          <w:b/>
          <w:iCs/>
        </w:rPr>
        <w:t>1</w:t>
      </w:r>
      <w:r w:rsidR="00E65E29">
        <w:rPr>
          <w:rFonts w:ascii="Times New Roman" w:hAnsi="Times New Roman"/>
          <w:b/>
          <w:iCs/>
        </w:rPr>
        <w:t>/</w:t>
      </w:r>
      <w:r w:rsidR="00E97D2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97D2B">
        <w:t>76</w:t>
      </w:r>
      <w:r w:rsidR="00BC35BA">
        <w:t>/</w:t>
      </w:r>
      <w:r w:rsidR="00E97D2B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97D2B">
        <w:t>76</w:t>
      </w:r>
      <w:r>
        <w:t>/</w:t>
      </w:r>
      <w:r w:rsidR="00E97D2B">
        <w:t>2017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97D2B">
        <w:rPr>
          <w:rFonts w:ascii="Times New Roman" w:hAnsi="Times New Roman" w:cs="Times New Roman"/>
          <w:spacing w:val="-4"/>
          <w:sz w:val="24"/>
        </w:rPr>
        <w:t>76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97D2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2468A">
        <w:rPr>
          <w:rFonts w:ascii="Times New Roman" w:hAnsi="Times New Roman" w:cs="Times New Roman"/>
          <w:spacing w:val="-4"/>
          <w:sz w:val="24"/>
        </w:rPr>
        <w:t>0</w:t>
      </w:r>
      <w:r w:rsidR="00E97D2B">
        <w:rPr>
          <w:rFonts w:ascii="Times New Roman" w:hAnsi="Times New Roman" w:cs="Times New Roman"/>
          <w:spacing w:val="-4"/>
          <w:sz w:val="24"/>
        </w:rPr>
        <w:t>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97D2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A91E86">
        <w:rPr>
          <w:rFonts w:ascii="Times New Roman" w:hAnsi="Times New Roman" w:cs="Times New Roman"/>
          <w:sz w:val="24"/>
        </w:rPr>
        <w:t xml:space="preserve">a </w:t>
      </w:r>
      <w:r w:rsidR="00E97D2B" w:rsidRPr="00E97D2B">
        <w:rPr>
          <w:rFonts w:ascii="Times New Roman" w:hAnsi="Times New Roman" w:cs="Times New Roman"/>
          <w:b/>
          <w:sz w:val="24"/>
        </w:rPr>
        <w:t>CONTRATAÇÃO DE EMPRESA ESPECIALIZADA VISANDO A EXECUÇÃO DE PAVIMENTAÇÃO EM LAJOTA SEXTAVADA, NA RUA FERMINO AMARAL DE SOUZA – BAIRRO IGARAS, CONFORME MEMORIAL/PROJETO</w:t>
      </w:r>
      <w:r w:rsidR="005C3730" w:rsidRPr="00C2468A">
        <w:rPr>
          <w:rFonts w:ascii="Times New Roman" w:hAnsi="Times New Roman" w:cs="Times New Roman"/>
          <w:szCs w:val="22"/>
        </w:rPr>
        <w:t>,</w:t>
      </w:r>
      <w:r w:rsidR="00E71A74" w:rsidRPr="00C2468A">
        <w:rPr>
          <w:rFonts w:ascii="Times New Roman" w:hAnsi="Times New Roman" w:cs="Times New Roman"/>
          <w:szCs w:val="22"/>
        </w:rPr>
        <w:t xml:space="preserve"> </w:t>
      </w:r>
      <w:r w:rsidR="005C3730" w:rsidRPr="00C2468A">
        <w:rPr>
          <w:rFonts w:ascii="Times New Roman" w:hAnsi="Times New Roman" w:cs="Times New Roman"/>
          <w:szCs w:val="22"/>
        </w:rPr>
        <w:t xml:space="preserve">a serem </w:t>
      </w:r>
      <w:r w:rsidR="00E663E9" w:rsidRPr="00C2468A">
        <w:rPr>
          <w:rFonts w:ascii="Times New Roman" w:hAnsi="Times New Roman" w:cs="Times New Roman"/>
          <w:szCs w:val="22"/>
        </w:rPr>
        <w:t>prestados</w:t>
      </w:r>
      <w:r w:rsidR="005C3730" w:rsidRPr="00C2468A">
        <w:rPr>
          <w:rFonts w:ascii="Times New Roman" w:hAnsi="Times New Roman" w:cs="Times New Roman"/>
          <w:szCs w:val="22"/>
        </w:rPr>
        <w:t xml:space="preserve"> </w:t>
      </w:r>
      <w:r w:rsidR="00E71A74" w:rsidRPr="00C2468A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e acordo com as especificações do </w:t>
      </w:r>
      <w:r w:rsidR="004F64DA" w:rsidRPr="00C2468A">
        <w:rPr>
          <w:rFonts w:ascii="Times New Roman" w:hAnsi="Times New Roman" w:cs="Times New Roman"/>
          <w:b/>
          <w:szCs w:val="22"/>
        </w:rPr>
        <w:t>Processo 0</w:t>
      </w:r>
      <w:r w:rsidR="00E97D2B">
        <w:rPr>
          <w:rFonts w:ascii="Times New Roman" w:hAnsi="Times New Roman" w:cs="Times New Roman"/>
          <w:b/>
          <w:szCs w:val="22"/>
        </w:rPr>
        <w:t>76</w:t>
      </w:r>
      <w:r w:rsidR="004F64DA" w:rsidRPr="00C2468A">
        <w:rPr>
          <w:rFonts w:ascii="Times New Roman" w:hAnsi="Times New Roman" w:cs="Times New Roman"/>
          <w:b/>
          <w:szCs w:val="22"/>
        </w:rPr>
        <w:t>/</w:t>
      </w:r>
      <w:r w:rsidR="00E97D2B">
        <w:rPr>
          <w:rFonts w:ascii="Times New Roman" w:hAnsi="Times New Roman" w:cs="Times New Roman"/>
          <w:b/>
          <w:szCs w:val="22"/>
        </w:rPr>
        <w:t>2017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– ANEXO </w:t>
      </w:r>
      <w:r w:rsidR="00C2468A">
        <w:rPr>
          <w:rFonts w:ascii="Times New Roman" w:hAnsi="Times New Roman" w:cs="Times New Roman"/>
          <w:b/>
          <w:szCs w:val="22"/>
        </w:rPr>
        <w:t>II e</w:t>
      </w:r>
      <w:r w:rsidR="00C2468A" w:rsidRPr="00C2468A">
        <w:rPr>
          <w:rFonts w:ascii="Times New Roman" w:hAnsi="Times New Roman" w:cs="Times New Roman"/>
          <w:b/>
          <w:szCs w:val="22"/>
        </w:rPr>
        <w:t xml:space="preserve"> PROJETO TÉCNICO</w:t>
      </w:r>
      <w:r w:rsidR="00E71A74" w:rsidRPr="00C2468A">
        <w:rPr>
          <w:rFonts w:ascii="Times New Roman" w:hAnsi="Times New Roman" w:cs="Times New Roman"/>
          <w:b/>
          <w:szCs w:val="22"/>
        </w:rPr>
        <w:t xml:space="preserve">, </w:t>
      </w:r>
      <w:r w:rsidR="00BC35BA" w:rsidRPr="00C2468A">
        <w:rPr>
          <w:rFonts w:ascii="Times New Roman" w:hAnsi="Times New Roman" w:cs="Times New Roman"/>
          <w:szCs w:val="22"/>
        </w:rPr>
        <w:t>ex</w:t>
      </w:r>
      <w:r w:rsidR="00857917" w:rsidRPr="00C2468A">
        <w:rPr>
          <w:rFonts w:ascii="Times New Roman" w:hAnsi="Times New Roman" w:cs="Times New Roman"/>
          <w:szCs w:val="22"/>
        </w:rPr>
        <w:t>ercício</w:t>
      </w:r>
      <w:r w:rsidR="005C3730" w:rsidRPr="00C2468A">
        <w:rPr>
          <w:rFonts w:ascii="Times New Roman" w:hAnsi="Times New Roman" w:cs="Times New Roman"/>
          <w:szCs w:val="22"/>
        </w:rPr>
        <w:t xml:space="preserve">/ano base de </w:t>
      </w:r>
      <w:r w:rsidR="00E97D2B">
        <w:rPr>
          <w:rFonts w:ascii="Times New Roman" w:hAnsi="Times New Roman" w:cs="Times New Roman"/>
          <w:szCs w:val="22"/>
        </w:rPr>
        <w:t>2017</w:t>
      </w:r>
      <w:r w:rsidR="00857917" w:rsidRPr="00C2468A">
        <w:rPr>
          <w:rFonts w:ascii="Times New Roman" w:hAnsi="Times New Roman" w:cs="Times New Roman"/>
          <w:szCs w:val="22"/>
        </w:rPr>
        <w:t>, podendo ser renovado/prorrogado</w:t>
      </w:r>
      <w:r w:rsidR="00857917" w:rsidRPr="00857917">
        <w:rPr>
          <w:rFonts w:ascii="Times New Roman" w:hAnsi="Times New Roman" w:cs="Times New Roman"/>
          <w:sz w:val="24"/>
        </w:rPr>
        <w:t>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8F1BA5">
        <w:rPr>
          <w:spacing w:val="-8"/>
        </w:rPr>
        <w:t>10</w:t>
      </w:r>
      <w:r w:rsidR="005B5334">
        <w:rPr>
          <w:spacing w:val="-8"/>
        </w:rPr>
        <w:t>(</w:t>
      </w:r>
      <w:r w:rsidR="008F1BA5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</w:t>
      </w:r>
      <w:r w:rsidR="00C2468A">
        <w:rPr>
          <w:spacing w:val="-10"/>
        </w:rPr>
        <w:t xml:space="preserve">cas/concessionárias, bem como do CREA/SC,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F1BA5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F1BA5" w:rsidRPr="00A05D43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ciente a Contratada, acerca da impossibilidade, seja por qual motivo for, de </w:t>
      </w:r>
      <w:proofErr w:type="spellStart"/>
      <w:r>
        <w:rPr>
          <w:rFonts w:ascii="Times New Roman" w:hAnsi="Times New Roman" w:cs="Times New Roman"/>
          <w:sz w:val="24"/>
        </w:rPr>
        <w:t>paralização</w:t>
      </w:r>
      <w:proofErr w:type="spellEnd"/>
      <w:r>
        <w:rPr>
          <w:rFonts w:ascii="Times New Roman" w:hAnsi="Times New Roman" w:cs="Times New Roman"/>
          <w:sz w:val="24"/>
        </w:rPr>
        <w:t xml:space="preserve"> dos trabalhos, devendo ocorrer prévia notificação do Município,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penalidades cabíveis, cumulada com a Rescisão do Contrato.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F1BA5">
        <w:t>pel</w:t>
      </w:r>
      <w:r w:rsidR="00186FA0" w:rsidRPr="00F7606E">
        <w:t xml:space="preserve">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A91E86">
        <w:rPr>
          <w:spacing w:val="-8"/>
        </w:rPr>
        <w:t>/processo licitatório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E97D2B">
        <w:rPr>
          <w:spacing w:val="-8"/>
        </w:rPr>
        <w:t>90</w:t>
      </w:r>
      <w:r w:rsidR="004010E8">
        <w:rPr>
          <w:spacing w:val="-8"/>
        </w:rPr>
        <w:t xml:space="preserve"> (</w:t>
      </w:r>
      <w:r w:rsidR="00E97D2B">
        <w:rPr>
          <w:spacing w:val="-8"/>
        </w:rPr>
        <w:t>noventa</w:t>
      </w:r>
      <w:r w:rsidR="004010E8">
        <w:rPr>
          <w:spacing w:val="-8"/>
        </w:rPr>
        <w:t xml:space="preserve">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97D2B">
        <w:rPr>
          <w:spacing w:val="-8"/>
        </w:rPr>
        <w:t>2017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E97D2B" w:rsidRDefault="00C5680F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036244">
        <w:rPr>
          <w:spacing w:val="-8"/>
        </w:rPr>
        <w:t xml:space="preserve"> </w:t>
      </w:r>
      <w:r w:rsidR="00036244" w:rsidRPr="007B54DC">
        <w:rPr>
          <w:color w:val="000000"/>
          <w:sz w:val="22"/>
          <w:szCs w:val="22"/>
        </w:rPr>
        <w:t>As despesas decorrentes da aquisição objeto do presente certame correrão a conta de dotação</w:t>
      </w:r>
      <w:proofErr w:type="gramStart"/>
      <w:r w:rsidR="00036244" w:rsidRPr="007B54DC">
        <w:rPr>
          <w:color w:val="000000"/>
          <w:sz w:val="22"/>
          <w:szCs w:val="22"/>
        </w:rPr>
        <w:t xml:space="preserve"> </w:t>
      </w:r>
      <w:r w:rsidR="00036244">
        <w:rPr>
          <w:color w:val="000000"/>
          <w:sz w:val="22"/>
          <w:szCs w:val="22"/>
        </w:rPr>
        <w:t xml:space="preserve"> </w:t>
      </w:r>
      <w:proofErr w:type="gramEnd"/>
      <w:r w:rsidR="00036244">
        <w:rPr>
          <w:color w:val="000000"/>
          <w:sz w:val="22"/>
          <w:szCs w:val="22"/>
        </w:rPr>
        <w:t xml:space="preserve">abaixo transcrita do exercício/ano base </w:t>
      </w:r>
      <w:r w:rsidR="00E97D2B">
        <w:rPr>
          <w:color w:val="000000"/>
          <w:sz w:val="22"/>
          <w:szCs w:val="22"/>
        </w:rPr>
        <w:t>2017</w:t>
      </w:r>
      <w:r w:rsidR="00036244">
        <w:rPr>
          <w:color w:val="000000"/>
          <w:sz w:val="22"/>
          <w:szCs w:val="22"/>
        </w:rPr>
        <w:t xml:space="preserve">, bem como mediante a liberação dos recursos do Convênio do </w:t>
      </w:r>
      <w:r w:rsidR="00E97D2B">
        <w:rPr>
          <w:color w:val="000000"/>
          <w:sz w:val="22"/>
          <w:szCs w:val="22"/>
        </w:rPr>
        <w:t xml:space="preserve">Ministério das </w:t>
      </w:r>
      <w:r w:rsidR="00A91E86">
        <w:rPr>
          <w:color w:val="000000"/>
          <w:sz w:val="22"/>
          <w:szCs w:val="22"/>
        </w:rPr>
        <w:t xml:space="preserve">CIDADES, </w:t>
      </w:r>
      <w:r w:rsidR="00E97D2B" w:rsidRPr="001B5246">
        <w:rPr>
          <w:b/>
          <w:color w:val="000000"/>
          <w:sz w:val="22"/>
          <w:szCs w:val="22"/>
        </w:rPr>
        <w:t>conforme Contrato de Repasse n. 1029648-34/2016</w:t>
      </w:r>
      <w:r w:rsidR="00E97D2B">
        <w:rPr>
          <w:color w:val="000000"/>
          <w:sz w:val="22"/>
          <w:szCs w:val="22"/>
        </w:rPr>
        <w:t xml:space="preserve"> e conforme segue: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Serviços Urbanos;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pavimentação;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R$ 1.123.600,00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Serviços Urbanos;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pavimentação;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E97D2B" w:rsidRDefault="00E97D2B" w:rsidP="00E97D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R$ 13.644,00</w:t>
      </w:r>
    </w:p>
    <w:p w:rsidR="00036244" w:rsidRDefault="00036244" w:rsidP="0003624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036244" w:rsidRPr="00F7606E" w:rsidRDefault="0003624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E97D2B">
        <w:rPr>
          <w:spacing w:val="-8"/>
        </w:rPr>
        <w:t>76</w:t>
      </w:r>
      <w:r w:rsidR="007947BD">
        <w:rPr>
          <w:spacing w:val="-8"/>
        </w:rPr>
        <w:t>/</w:t>
      </w:r>
      <w:r w:rsidR="00E97D2B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E97D2B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C2468A" w:rsidRDefault="00C2468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C2468A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36244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7C42"/>
    <w:rsid w:val="00680B81"/>
    <w:rsid w:val="006B4CD9"/>
    <w:rsid w:val="006C49AF"/>
    <w:rsid w:val="00706473"/>
    <w:rsid w:val="00756FB6"/>
    <w:rsid w:val="00776ECF"/>
    <w:rsid w:val="007947BD"/>
    <w:rsid w:val="007C15D7"/>
    <w:rsid w:val="00854B95"/>
    <w:rsid w:val="00857917"/>
    <w:rsid w:val="0086642D"/>
    <w:rsid w:val="00872E7B"/>
    <w:rsid w:val="00881115"/>
    <w:rsid w:val="008D4905"/>
    <w:rsid w:val="008F169C"/>
    <w:rsid w:val="008F1BA5"/>
    <w:rsid w:val="009242E7"/>
    <w:rsid w:val="00927FD4"/>
    <w:rsid w:val="009409E7"/>
    <w:rsid w:val="009527C9"/>
    <w:rsid w:val="00980996"/>
    <w:rsid w:val="009B582E"/>
    <w:rsid w:val="009D0E64"/>
    <w:rsid w:val="009D5E2F"/>
    <w:rsid w:val="00A05D43"/>
    <w:rsid w:val="00A253A4"/>
    <w:rsid w:val="00A536FB"/>
    <w:rsid w:val="00A71458"/>
    <w:rsid w:val="00A91E86"/>
    <w:rsid w:val="00A96C3E"/>
    <w:rsid w:val="00A970D3"/>
    <w:rsid w:val="00AA70F1"/>
    <w:rsid w:val="00AB2C3A"/>
    <w:rsid w:val="00AB4542"/>
    <w:rsid w:val="00AE0E10"/>
    <w:rsid w:val="00AE61B4"/>
    <w:rsid w:val="00AE6545"/>
    <w:rsid w:val="00B20727"/>
    <w:rsid w:val="00B30B19"/>
    <w:rsid w:val="00B3147E"/>
    <w:rsid w:val="00B4535A"/>
    <w:rsid w:val="00BC35BA"/>
    <w:rsid w:val="00BD0426"/>
    <w:rsid w:val="00BD1DEF"/>
    <w:rsid w:val="00BE48B4"/>
    <w:rsid w:val="00C2468A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97D2B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1824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2014-06-12T12:22:00Z</cp:lastPrinted>
  <dcterms:created xsi:type="dcterms:W3CDTF">2015-12-03T13:33:00Z</dcterms:created>
  <dcterms:modified xsi:type="dcterms:W3CDTF">2017-09-04T13:32:00Z</dcterms:modified>
</cp:coreProperties>
</file>