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F496A">
        <w:rPr>
          <w:rFonts w:ascii="Times New Roman" w:hAnsi="Times New Roman"/>
          <w:b/>
          <w:i/>
        </w:rPr>
        <w:t>2017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382FCA">
        <w:rPr>
          <w:rFonts w:ascii="Times New Roman" w:hAnsi="Times New Roman"/>
          <w:b/>
          <w:iCs/>
        </w:rPr>
        <w:t>04</w:t>
      </w:r>
      <w:r w:rsidR="00360F54">
        <w:rPr>
          <w:rFonts w:ascii="Times New Roman" w:hAnsi="Times New Roman"/>
          <w:b/>
          <w:iCs/>
        </w:rPr>
        <w:t>5</w:t>
      </w:r>
      <w:r w:rsidR="00E65E29">
        <w:rPr>
          <w:rFonts w:ascii="Times New Roman" w:hAnsi="Times New Roman"/>
          <w:b/>
          <w:iCs/>
        </w:rPr>
        <w:t>/</w:t>
      </w:r>
      <w:r w:rsidR="001F496A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82FCA">
        <w:t>09</w:t>
      </w:r>
      <w:r w:rsidR="00360F54">
        <w:t>3</w:t>
      </w:r>
      <w:r w:rsidR="00BC35BA">
        <w:t>/</w:t>
      </w:r>
      <w:r w:rsidR="001F496A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82FCA">
        <w:t>09</w:t>
      </w:r>
      <w:r w:rsidR="00360F54">
        <w:t>3</w:t>
      </w:r>
      <w:r>
        <w:t>/</w:t>
      </w:r>
      <w:r w:rsidR="001F496A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82FCA">
        <w:rPr>
          <w:rFonts w:ascii="Times New Roman" w:hAnsi="Times New Roman" w:cs="Times New Roman"/>
          <w:spacing w:val="-4"/>
          <w:sz w:val="24"/>
        </w:rPr>
        <w:t>09</w:t>
      </w:r>
      <w:r w:rsidR="00360F54">
        <w:rPr>
          <w:rFonts w:ascii="Times New Roman" w:hAnsi="Times New Roman" w:cs="Times New Roman"/>
          <w:spacing w:val="-4"/>
          <w:sz w:val="24"/>
        </w:rPr>
        <w:t>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82FCA">
        <w:rPr>
          <w:rFonts w:ascii="Times New Roman" w:hAnsi="Times New Roman" w:cs="Times New Roman"/>
          <w:spacing w:val="-4"/>
          <w:sz w:val="24"/>
        </w:rPr>
        <w:t>04</w:t>
      </w:r>
      <w:r w:rsidR="00360F54">
        <w:rPr>
          <w:rFonts w:ascii="Times New Roman" w:hAnsi="Times New Roman" w:cs="Times New Roman"/>
          <w:spacing w:val="-4"/>
          <w:sz w:val="24"/>
        </w:rPr>
        <w:t>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F496A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360F54">
        <w:rPr>
          <w:rFonts w:ascii="Times New Roman" w:hAnsi="Times New Roman" w:cs="Times New Roman"/>
          <w:b/>
          <w:color w:val="000000"/>
          <w:sz w:val="24"/>
        </w:rPr>
        <w:t>AQUISIÇÃO DE TONERS E CARTUCHOS DE IMPRESSORAS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382FCA">
        <w:rPr>
          <w:rFonts w:ascii="Times New Roman" w:hAnsi="Times New Roman" w:cs="Times New Roman"/>
          <w:b/>
          <w:sz w:val="24"/>
        </w:rPr>
        <w:t>094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F496A">
        <w:rPr>
          <w:rFonts w:ascii="Times New Roman" w:hAnsi="Times New Roman" w:cs="Times New Roman"/>
          <w:b/>
          <w:sz w:val="24"/>
        </w:rPr>
        <w:t>2017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F496A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</w:t>
      </w:r>
      <w:r w:rsidR="00382FCA">
        <w:rPr>
          <w:spacing w:val="-8"/>
        </w:rPr>
        <w:t xml:space="preserve">, ou seja, deverão ser entregues em </w:t>
      </w:r>
      <w:r w:rsidR="00DB0473">
        <w:rPr>
          <w:spacing w:val="-8"/>
        </w:rPr>
        <w:t>no máximo 0</w:t>
      </w:r>
      <w:r w:rsidR="00360F54">
        <w:rPr>
          <w:spacing w:val="-8"/>
        </w:rPr>
        <w:t>3</w:t>
      </w:r>
      <w:r w:rsidR="00DB0473">
        <w:rPr>
          <w:spacing w:val="-8"/>
        </w:rPr>
        <w:t>(</w:t>
      </w:r>
      <w:r w:rsidR="00360F54">
        <w:rPr>
          <w:spacing w:val="-8"/>
        </w:rPr>
        <w:t>três</w:t>
      </w:r>
      <w:r w:rsidR="00DB0473">
        <w:rPr>
          <w:spacing w:val="-8"/>
        </w:rPr>
        <w:t>) dia</w:t>
      </w:r>
      <w:r w:rsidR="00382FCA">
        <w:rPr>
          <w:spacing w:val="-8"/>
        </w:rPr>
        <w:t xml:space="preserve">s, devendo </w:t>
      </w:r>
      <w:r w:rsidR="00DB0473">
        <w:rPr>
          <w:spacing w:val="-8"/>
        </w:rPr>
        <w:t>ser as mais rápidas possív</w:t>
      </w:r>
      <w:r w:rsidR="00382FCA">
        <w:rPr>
          <w:spacing w:val="-8"/>
        </w:rPr>
        <w:t>eis,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DB0473">
        <w:rPr>
          <w:spacing w:val="-8"/>
        </w:rPr>
        <w:t>conclusão dos serviços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 w:rsidR="00D8112A">
        <w:rPr>
          <w:spacing w:val="-10"/>
        </w:rPr>
        <w:t xml:space="preserve">Dar garantia de </w:t>
      </w:r>
      <w:r w:rsidR="00360F54">
        <w:rPr>
          <w:spacing w:val="-10"/>
        </w:rPr>
        <w:t>90</w:t>
      </w:r>
      <w:r w:rsidR="00D8112A">
        <w:rPr>
          <w:spacing w:val="-10"/>
        </w:rPr>
        <w:t>(</w:t>
      </w:r>
      <w:r w:rsidR="00360F54">
        <w:rPr>
          <w:spacing w:val="-10"/>
        </w:rPr>
        <w:t>noventa)</w:t>
      </w:r>
      <w:r w:rsidR="00D8112A">
        <w:rPr>
          <w:spacing w:val="-10"/>
        </w:rPr>
        <w:t xml:space="preserve"> </w:t>
      </w:r>
      <w:r w:rsidR="00360F54">
        <w:rPr>
          <w:spacing w:val="-10"/>
        </w:rPr>
        <w:t xml:space="preserve">dias </w:t>
      </w:r>
      <w:r w:rsidR="00D8112A">
        <w:rPr>
          <w:spacing w:val="-10"/>
        </w:rPr>
        <w:t xml:space="preserve">sobre </w:t>
      </w:r>
      <w:r w:rsidR="00360F54">
        <w:rPr>
          <w:spacing w:val="-10"/>
        </w:rPr>
        <w:t xml:space="preserve">os equipamentos, devendo </w:t>
      </w:r>
      <w:r w:rsidR="00D8112A"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  <w:r w:rsidR="00D8112A"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lastRenderedPageBreak/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360F54">
        <w:rPr>
          <w:spacing w:val="-8"/>
        </w:rPr>
        <w:t>2018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</w:t>
      </w:r>
      <w:r w:rsidR="00360F54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382FCA" w:rsidRDefault="00C5680F" w:rsidP="00360F54">
      <w:pPr>
        <w:ind w:right="-135"/>
        <w:jc w:val="both"/>
        <w:rPr>
          <w:bCs/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F496A">
        <w:rPr>
          <w:spacing w:val="-8"/>
        </w:rPr>
        <w:t>201</w:t>
      </w:r>
      <w:r w:rsidR="00360F54">
        <w:rPr>
          <w:spacing w:val="-8"/>
        </w:rPr>
        <w:t>8, que depende de aprovação do Legislativo.</w:t>
      </w:r>
    </w:p>
    <w:p w:rsidR="00AB6BA5" w:rsidRDefault="00AB6BA5" w:rsidP="00AB6BA5">
      <w:pPr>
        <w:ind w:right="-135"/>
        <w:jc w:val="both"/>
        <w:rPr>
          <w:spacing w:val="-8"/>
        </w:rPr>
      </w:pP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60F54">
        <w:rPr>
          <w:spacing w:val="-8"/>
        </w:rPr>
        <w:t>093</w:t>
      </w:r>
      <w:r w:rsidR="007947BD">
        <w:rPr>
          <w:spacing w:val="-8"/>
        </w:rPr>
        <w:t>/</w:t>
      </w:r>
      <w:r w:rsidR="001F496A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82FCA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F496A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A5270"/>
    <w:rsid w:val="000E04F8"/>
    <w:rsid w:val="000E12C0"/>
    <w:rsid w:val="001305F3"/>
    <w:rsid w:val="00161313"/>
    <w:rsid w:val="00170122"/>
    <w:rsid w:val="0017344A"/>
    <w:rsid w:val="00186FA0"/>
    <w:rsid w:val="001A2D65"/>
    <w:rsid w:val="001A4C8F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60F54"/>
    <w:rsid w:val="00374EE6"/>
    <w:rsid w:val="00382FCA"/>
    <w:rsid w:val="003B312C"/>
    <w:rsid w:val="003D2DFF"/>
    <w:rsid w:val="003E375A"/>
    <w:rsid w:val="0041695F"/>
    <w:rsid w:val="004207D7"/>
    <w:rsid w:val="00435C88"/>
    <w:rsid w:val="00452B1D"/>
    <w:rsid w:val="00465BC2"/>
    <w:rsid w:val="00467E4F"/>
    <w:rsid w:val="004F64DA"/>
    <w:rsid w:val="005531E5"/>
    <w:rsid w:val="005566C6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40E83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80547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8112A"/>
    <w:rsid w:val="00DB0473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681D-C511-47B6-B375-912AE65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1712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2014-06-12T12:22:00Z</cp:lastPrinted>
  <dcterms:created xsi:type="dcterms:W3CDTF">2015-07-29T12:57:00Z</dcterms:created>
  <dcterms:modified xsi:type="dcterms:W3CDTF">2017-11-07T12:58:00Z</dcterms:modified>
</cp:coreProperties>
</file>