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AF0BDB">
        <w:rPr>
          <w:rFonts w:ascii="Times New Roman" w:hAnsi="Times New Roman"/>
          <w:b/>
          <w:iCs/>
        </w:rPr>
        <w:t>0</w:t>
      </w:r>
      <w:r w:rsidR="00BC2FD9">
        <w:rPr>
          <w:rFonts w:ascii="Times New Roman" w:hAnsi="Times New Roman"/>
          <w:b/>
          <w:iCs/>
        </w:rPr>
        <w:t>2</w:t>
      </w:r>
      <w:r w:rsidR="00CF5F8F">
        <w:rPr>
          <w:rFonts w:ascii="Times New Roman" w:hAnsi="Times New Roman"/>
          <w:b/>
          <w:iCs/>
        </w:rPr>
        <w:t>4</w:t>
      </w:r>
      <w:r w:rsidR="005C3730">
        <w:rPr>
          <w:rFonts w:ascii="Times New Roman" w:hAnsi="Times New Roman"/>
          <w:b/>
          <w:iCs/>
        </w:rPr>
        <w:t>/201</w:t>
      </w:r>
      <w:r w:rsidR="0089580E">
        <w:rPr>
          <w:rFonts w:ascii="Times New Roman" w:hAnsi="Times New Roman"/>
          <w:b/>
          <w:iCs/>
        </w:rPr>
        <w:t>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AF0BDB">
        <w:t>0</w:t>
      </w:r>
      <w:r w:rsidR="00CF5F8F">
        <w:t>32</w:t>
      </w:r>
      <w:r>
        <w:t>/201</w:t>
      </w:r>
      <w:r w:rsidR="0089580E">
        <w:t>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AF0BDB">
        <w:t>0</w:t>
      </w:r>
      <w:r w:rsidR="00CF5F8F">
        <w:t>32</w:t>
      </w:r>
      <w:r>
        <w:t>/201</w:t>
      </w:r>
      <w:r w:rsidR="0089580E">
        <w:t>7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FUNDO MUNICIPAL DE SAÚDE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BC2FD9">
        <w:rPr>
          <w:rFonts w:ascii="Times New Roman" w:hAnsi="Times New Roman" w:cs="Times New Roman"/>
          <w:sz w:val="24"/>
        </w:rPr>
        <w:t>10.433.103/0001-07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LUÍS FERNANDO OLIVEIRA DE SOUZA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F0BDB">
        <w:rPr>
          <w:rFonts w:ascii="Times New Roman" w:hAnsi="Times New Roman" w:cs="Times New Roman"/>
          <w:spacing w:val="-4"/>
          <w:sz w:val="24"/>
        </w:rPr>
        <w:t>0</w:t>
      </w:r>
      <w:r w:rsidR="00CF5F8F">
        <w:rPr>
          <w:rFonts w:ascii="Times New Roman" w:hAnsi="Times New Roman" w:cs="Times New Roman"/>
          <w:spacing w:val="-4"/>
          <w:sz w:val="24"/>
        </w:rPr>
        <w:t>32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AF0BDB">
        <w:rPr>
          <w:rFonts w:ascii="Times New Roman" w:hAnsi="Times New Roman" w:cs="Times New Roman"/>
          <w:spacing w:val="-4"/>
          <w:sz w:val="24"/>
        </w:rPr>
        <w:t>0</w:t>
      </w:r>
      <w:r w:rsidR="00BC2FD9">
        <w:rPr>
          <w:rFonts w:ascii="Times New Roman" w:hAnsi="Times New Roman" w:cs="Times New Roman"/>
          <w:spacing w:val="-4"/>
          <w:sz w:val="24"/>
        </w:rPr>
        <w:t>2</w:t>
      </w:r>
      <w:r w:rsidR="00CF5F8F">
        <w:rPr>
          <w:rFonts w:ascii="Times New Roman" w:hAnsi="Times New Roman" w:cs="Times New Roman"/>
          <w:spacing w:val="-4"/>
          <w:sz w:val="24"/>
        </w:rPr>
        <w:t>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89580E">
        <w:rPr>
          <w:rFonts w:ascii="Times New Roman" w:hAnsi="Times New Roman" w:cs="Times New Roman"/>
          <w:spacing w:val="-4"/>
          <w:sz w:val="24"/>
        </w:rPr>
        <w:t>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CF5F8F">
        <w:rPr>
          <w:rFonts w:ascii="Times New Roman" w:hAnsi="Times New Roman" w:cs="Times New Roman"/>
          <w:b/>
          <w:color w:val="000000"/>
          <w:szCs w:val="22"/>
        </w:rPr>
        <w:t>VEÍCULO – TIPO MINIVAN PARA A SEC. DE SAÚDE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89580E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>entrega em no máximo 05(cinco) dias úteis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BC2FD9">
        <w:rPr>
          <w:spacing w:val="-8"/>
        </w:rPr>
        <w:t>da entrega dos veículos/motos.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BC2FD9">
        <w:t>FUNDO MUNICIPAL DE SAÚDE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BC2FD9">
        <w:rPr>
          <w:spacing w:val="-10"/>
        </w:rPr>
        <w:t>FUNDO MUNICIPAL DE SAÚDE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FUNDO MUNICIPAL DE SAÚDE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660E4E">
        <w:t>, com exceção da primeira parcela, que será paga até 15(quinze) dias após emissão da nota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89580E">
        <w:rPr>
          <w:spacing w:val="-8"/>
        </w:rPr>
        <w:t>7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 13391-4</w:t>
      </w: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12 – 4490 – 5248 – </w:t>
      </w:r>
      <w:proofErr w:type="spellStart"/>
      <w:r>
        <w:rPr>
          <w:color w:val="000000"/>
          <w:sz w:val="22"/>
          <w:szCs w:val="22"/>
        </w:rPr>
        <w:t>Rec</w:t>
      </w:r>
      <w:proofErr w:type="spellEnd"/>
      <w:r>
        <w:rPr>
          <w:color w:val="000000"/>
          <w:sz w:val="22"/>
          <w:szCs w:val="22"/>
        </w:rPr>
        <w:t xml:space="preserve"> 0064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</w:t>
      </w:r>
      <w:r w:rsidRPr="00F7606E">
        <w:rPr>
          <w:spacing w:val="-8"/>
        </w:rPr>
        <w:lastRenderedPageBreak/>
        <w:t xml:space="preserve">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AF0BDB">
        <w:rPr>
          <w:spacing w:val="-8"/>
        </w:rPr>
        <w:t>0</w:t>
      </w:r>
      <w:r w:rsidR="00BC2FD9">
        <w:rPr>
          <w:spacing w:val="-8"/>
        </w:rPr>
        <w:t>2</w:t>
      </w:r>
      <w:r w:rsidR="00CF5F8F">
        <w:rPr>
          <w:spacing w:val="-8"/>
        </w:rPr>
        <w:t>4</w:t>
      </w:r>
      <w:r w:rsidR="0006759B" w:rsidRPr="00F7606E">
        <w:rPr>
          <w:spacing w:val="-8"/>
        </w:rPr>
        <w:t>/201</w:t>
      </w:r>
      <w:r w:rsidR="0089580E">
        <w:rPr>
          <w:spacing w:val="-8"/>
        </w:rPr>
        <w:t>7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89580E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60E4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6C49AF" w:rsidRDefault="00AF0BDB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6C49AF">
        <w:rPr>
          <w:spacing w:val="-8"/>
          <w:szCs w:val="22"/>
        </w:rPr>
        <w:t xml:space="preserve"> – Pre</w:t>
      </w:r>
      <w:r w:rsidR="00660E4E">
        <w:rPr>
          <w:spacing w:val="-8"/>
          <w:szCs w:val="22"/>
        </w:rPr>
        <w:t>sidente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76D71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705C18"/>
    <w:rsid w:val="00706473"/>
    <w:rsid w:val="00715DBC"/>
    <w:rsid w:val="00756FB6"/>
    <w:rsid w:val="00776ECF"/>
    <w:rsid w:val="007C15D7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C2899"/>
    <w:rsid w:val="00EC78F3"/>
    <w:rsid w:val="00F26528"/>
    <w:rsid w:val="00F349E6"/>
    <w:rsid w:val="00F44DD9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1687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9</cp:revision>
  <cp:lastPrinted>2008-04-03T18:20:00Z</cp:lastPrinted>
  <dcterms:created xsi:type="dcterms:W3CDTF">2016-01-11T12:53:00Z</dcterms:created>
  <dcterms:modified xsi:type="dcterms:W3CDTF">2017-11-09T12:11:00Z</dcterms:modified>
</cp:coreProperties>
</file>