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96719C">
        <w:rPr>
          <w:rFonts w:ascii="Times New Roman" w:hAnsi="Times New Roman"/>
          <w:b/>
          <w:i/>
        </w:rPr>
        <w:t>ORGANIZAÇÃO E MODERNIZAÇÃO DO CEMITÉRIO PÚBLICO MUNICIPAL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96719C">
        <w:rPr>
          <w:rFonts w:ascii="Times New Roman" w:hAnsi="Times New Roman"/>
          <w:b/>
          <w:iCs/>
        </w:rPr>
        <w:t>019</w:t>
      </w:r>
      <w:r w:rsidR="0006759B">
        <w:rPr>
          <w:rFonts w:ascii="Times New Roman" w:hAnsi="Times New Roman"/>
          <w:b/>
          <w:iCs/>
        </w:rPr>
        <w:t>/</w:t>
      </w:r>
      <w:r w:rsidR="00E04629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96719C">
        <w:t>040</w:t>
      </w:r>
      <w:r w:rsidR="0006759B">
        <w:t>/</w:t>
      </w:r>
      <w:r w:rsidR="00E04629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96719C">
        <w:t>040</w:t>
      </w:r>
      <w:r>
        <w:t>/</w:t>
      </w:r>
      <w:r w:rsidR="00E0462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6719C">
        <w:rPr>
          <w:rFonts w:ascii="Times New Roman" w:hAnsi="Times New Roman" w:cs="Times New Roman"/>
          <w:spacing w:val="-4"/>
          <w:sz w:val="24"/>
        </w:rPr>
        <w:t>040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E04629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96719C">
        <w:rPr>
          <w:rFonts w:ascii="Times New Roman" w:hAnsi="Times New Roman" w:cs="Times New Roman"/>
          <w:spacing w:val="-4"/>
          <w:sz w:val="24"/>
        </w:rPr>
        <w:t>019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E04629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96719C" w:rsidRPr="0096719C">
        <w:rPr>
          <w:rFonts w:ascii="Times New Roman" w:hAnsi="Times New Roman" w:cs="Times New Roman"/>
          <w:b/>
          <w:szCs w:val="22"/>
        </w:rPr>
        <w:t>CONTRATAÇÃO DE EMPRESA ESPECIALIZADA NA ORGANIZAÇÃO E MODERNIZAÇÃO DO CEMITÉRIO PÚBLICO MUNICIPAL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E04629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 xml:space="preserve">. Os </w:t>
      </w:r>
      <w:r w:rsidR="00A96C3E">
        <w:rPr>
          <w:spacing w:val="-8"/>
          <w:szCs w:val="22"/>
        </w:rPr>
        <w:t xml:space="preserve">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</w:t>
      </w:r>
      <w:r w:rsidR="0096719C">
        <w:rPr>
          <w:spacing w:val="-8"/>
          <w:szCs w:val="22"/>
        </w:rPr>
        <w:t xml:space="preserve">iniciados </w:t>
      </w:r>
      <w:r w:rsidR="00AA70F1">
        <w:rPr>
          <w:spacing w:val="-8"/>
          <w:szCs w:val="22"/>
        </w:rPr>
        <w:t xml:space="preserve">no local indicado na solicitação </w:t>
      </w:r>
      <w:r w:rsidR="00AB2C3A">
        <w:rPr>
          <w:spacing w:val="-8"/>
          <w:szCs w:val="22"/>
        </w:rPr>
        <w:t xml:space="preserve">no prazo de </w:t>
      </w:r>
      <w:r w:rsidR="0096719C">
        <w:rPr>
          <w:spacing w:val="-8"/>
          <w:szCs w:val="22"/>
        </w:rPr>
        <w:t>10</w:t>
      </w:r>
      <w:r w:rsidR="00881115">
        <w:rPr>
          <w:spacing w:val="-8"/>
          <w:szCs w:val="22"/>
        </w:rPr>
        <w:t xml:space="preserve"> (</w:t>
      </w:r>
      <w:r w:rsidR="0096719C">
        <w:rPr>
          <w:spacing w:val="-8"/>
          <w:szCs w:val="22"/>
        </w:rPr>
        <w:t>dez</w:t>
      </w:r>
      <w:r w:rsidR="00AA70F1">
        <w:rPr>
          <w:spacing w:val="-8"/>
          <w:szCs w:val="22"/>
        </w:rPr>
        <w:t>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421641">
        <w:rPr>
          <w:spacing w:val="-10"/>
        </w:rPr>
        <w:t xml:space="preserve"> que integra Edital, inclusive ABNT/INMETRO, NBR e CDC</w:t>
      </w:r>
      <w:r w:rsidR="0096719C">
        <w:rPr>
          <w:spacing w:val="-10"/>
        </w:rPr>
        <w:t>, além da Legislação pertinente ao caso</w:t>
      </w:r>
      <w:r w:rsidR="00421641">
        <w:rPr>
          <w:spacing w:val="-10"/>
        </w:rPr>
        <w:t>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421641">
      <w:pPr>
        <w:ind w:right="49"/>
        <w:jc w:val="both"/>
      </w:pPr>
    </w:p>
    <w:p w:rsidR="00717D46" w:rsidRDefault="00717D46" w:rsidP="00421641">
      <w:pPr>
        <w:ind w:right="49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421641">
      <w:pPr>
        <w:ind w:right="49"/>
        <w:jc w:val="both"/>
        <w:rPr>
          <w:spacing w:val="-10"/>
        </w:rPr>
      </w:pPr>
    </w:p>
    <w:p w:rsidR="00717D46" w:rsidRDefault="00717D46" w:rsidP="00421641">
      <w:pPr>
        <w:ind w:right="49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421641">
      <w:pPr>
        <w:ind w:right="49"/>
        <w:jc w:val="both"/>
      </w:pPr>
    </w:p>
    <w:p w:rsidR="00717D46" w:rsidRDefault="00717D46" w:rsidP="00421641">
      <w:pPr>
        <w:ind w:right="49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421641">
      <w:pPr>
        <w:ind w:right="49"/>
        <w:jc w:val="both"/>
      </w:pP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</w:p>
    <w:p w:rsidR="00505384" w:rsidRPr="00A05D43" w:rsidRDefault="00505384" w:rsidP="00421641">
      <w:pPr>
        <w:pStyle w:val="Textoembloco"/>
        <w:ind w:left="0"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</w:t>
      </w:r>
      <w:r w:rsidR="0096719C">
        <w:t xml:space="preserve"> 15 (quinze) vezes, sendo a primeira em</w:t>
      </w:r>
      <w:r w:rsidR="00186FA0" w:rsidRPr="00186FA0">
        <w:t xml:space="preserve">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 realizado(s)</w:t>
      </w:r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96719C">
        <w:rPr>
          <w:spacing w:val="-8"/>
          <w:szCs w:val="22"/>
        </w:rPr>
        <w:t xml:space="preserve">em 08(oito) meses data em que deverá ocorrer o término dos trabalhos e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E04629">
        <w:rPr>
          <w:spacing w:val="-8"/>
          <w:szCs w:val="22"/>
        </w:rPr>
        <w:t>2019</w:t>
      </w:r>
      <w:r w:rsidR="0096719C">
        <w:rPr>
          <w:spacing w:val="-8"/>
          <w:szCs w:val="22"/>
        </w:rPr>
        <w:t>;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E04629">
        <w:rPr>
          <w:spacing w:val="-8"/>
          <w:szCs w:val="22"/>
        </w:rPr>
        <w:t>2019</w:t>
      </w:r>
      <w:r w:rsidR="00421641">
        <w:rPr>
          <w:spacing w:val="-8"/>
          <w:szCs w:val="22"/>
        </w:rPr>
        <w:t>, conforme segue:</w:t>
      </w:r>
    </w:p>
    <w:p w:rsidR="00421641" w:rsidRDefault="00421641" w:rsidP="0063661B">
      <w:pPr>
        <w:ind w:right="-135"/>
        <w:jc w:val="both"/>
        <w:rPr>
          <w:spacing w:val="-8"/>
          <w:szCs w:val="22"/>
        </w:rPr>
      </w:pPr>
    </w:p>
    <w:p w:rsidR="00B3147E" w:rsidRPr="00B3147E" w:rsidRDefault="0096719C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spacing w:val="-8"/>
          <w:szCs w:val="22"/>
        </w:rPr>
        <w:t>135 – 3390 - 3905</w:t>
      </w: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96719C">
        <w:rPr>
          <w:spacing w:val="-8"/>
          <w:szCs w:val="22"/>
        </w:rPr>
        <w:t>019</w:t>
      </w:r>
      <w:r w:rsidR="0006759B">
        <w:rPr>
          <w:spacing w:val="-8"/>
          <w:szCs w:val="22"/>
        </w:rPr>
        <w:t>/</w:t>
      </w:r>
      <w:r w:rsidR="00E04629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E04629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2E3AB2"/>
    <w:rsid w:val="00304CD6"/>
    <w:rsid w:val="003B312C"/>
    <w:rsid w:val="003D2DFF"/>
    <w:rsid w:val="003E375A"/>
    <w:rsid w:val="00421641"/>
    <w:rsid w:val="00435C88"/>
    <w:rsid w:val="00465BC2"/>
    <w:rsid w:val="00467E4F"/>
    <w:rsid w:val="00505384"/>
    <w:rsid w:val="005531E5"/>
    <w:rsid w:val="005C46F0"/>
    <w:rsid w:val="005C5369"/>
    <w:rsid w:val="006229C5"/>
    <w:rsid w:val="0063661B"/>
    <w:rsid w:val="00653372"/>
    <w:rsid w:val="00677C42"/>
    <w:rsid w:val="00717D46"/>
    <w:rsid w:val="00756FB6"/>
    <w:rsid w:val="00776ECF"/>
    <w:rsid w:val="007C15D7"/>
    <w:rsid w:val="007C23BA"/>
    <w:rsid w:val="007E4F3F"/>
    <w:rsid w:val="00857F5C"/>
    <w:rsid w:val="00881115"/>
    <w:rsid w:val="008F169C"/>
    <w:rsid w:val="009242E7"/>
    <w:rsid w:val="009527C9"/>
    <w:rsid w:val="0096719C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04629"/>
    <w:rsid w:val="00E16862"/>
    <w:rsid w:val="00E40BE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1596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cp:lastPrinted>2008-04-03T18:20:00Z</cp:lastPrinted>
  <dcterms:created xsi:type="dcterms:W3CDTF">2015-01-07T11:40:00Z</dcterms:created>
  <dcterms:modified xsi:type="dcterms:W3CDTF">2019-04-23T12:56:00Z</dcterms:modified>
</cp:coreProperties>
</file>