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r w:rsidR="00AF78A3">
        <w:rPr>
          <w:rFonts w:ascii="Times New Roman" w:hAnsi="Times New Roman"/>
          <w:b/>
          <w:i/>
        </w:rPr>
        <w:t>2019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2A4838">
        <w:rPr>
          <w:rFonts w:ascii="Times New Roman" w:hAnsi="Times New Roman"/>
          <w:b/>
          <w:iCs/>
        </w:rPr>
        <w:t>014</w:t>
      </w:r>
      <w:r w:rsidR="0006759B">
        <w:rPr>
          <w:rFonts w:ascii="Times New Roman" w:hAnsi="Times New Roman"/>
          <w:b/>
          <w:iCs/>
        </w:rPr>
        <w:t>/</w:t>
      </w:r>
      <w:r w:rsidR="00AF78A3">
        <w:rPr>
          <w:rFonts w:ascii="Times New Roman" w:hAnsi="Times New Roman"/>
          <w:b/>
          <w:iCs/>
        </w:rPr>
        <w:t>2019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2A4838">
        <w:t>018</w:t>
      </w:r>
      <w:r w:rsidR="0006759B">
        <w:t>/</w:t>
      </w:r>
      <w:r w:rsidR="00AF78A3">
        <w:t>2019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2A4838">
        <w:t>018</w:t>
      </w:r>
      <w:r>
        <w:t>/</w:t>
      </w:r>
      <w:r w:rsidR="00AF78A3">
        <w:t>2019</w:t>
      </w:r>
      <w:r>
        <w:t>)</w:t>
      </w: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</w:t>
      </w:r>
      <w:r w:rsidR="002A4838">
        <w:rPr>
          <w:rFonts w:ascii="Times New Roman" w:hAnsi="Times New Roman" w:cs="Times New Roman"/>
          <w:b/>
          <w:sz w:val="24"/>
        </w:rPr>
        <w:t>FUNDO MUNICIPAL DE SAÚDE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>, in</w:t>
      </w:r>
      <w:r w:rsidR="002A4838">
        <w:rPr>
          <w:rFonts w:ascii="Times New Roman" w:hAnsi="Times New Roman" w:cs="Times New Roman"/>
          <w:sz w:val="24"/>
        </w:rPr>
        <w:t>scrito no CNPJ sob nº 10.433.10/0001-07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2A4838">
        <w:rPr>
          <w:rFonts w:ascii="Times New Roman" w:hAnsi="Times New Roman" w:cs="Times New Roman"/>
          <w:sz w:val="24"/>
        </w:rPr>
        <w:t>Secretário de Saúde,</w:t>
      </w:r>
      <w:r w:rsidR="00717D46">
        <w:rPr>
          <w:rFonts w:ascii="Times New Roman" w:hAnsi="Times New Roman" w:cs="Times New Roman"/>
          <w:sz w:val="24"/>
        </w:rPr>
        <w:t xml:space="preserve">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2A4838">
        <w:rPr>
          <w:rFonts w:ascii="Times New Roman" w:hAnsi="Times New Roman" w:cs="Times New Roman"/>
          <w:sz w:val="24"/>
        </w:rPr>
        <w:t>Luiz Fernando Oliveira de Souza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2A4838">
        <w:rPr>
          <w:rFonts w:ascii="Times New Roman" w:hAnsi="Times New Roman" w:cs="Times New Roman"/>
          <w:spacing w:val="-4"/>
          <w:sz w:val="24"/>
        </w:rPr>
        <w:t>018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AF78A3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2A4838">
        <w:rPr>
          <w:rFonts w:ascii="Times New Roman" w:hAnsi="Times New Roman" w:cs="Times New Roman"/>
          <w:spacing w:val="-4"/>
          <w:sz w:val="24"/>
        </w:rPr>
        <w:t>014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AF78A3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</w:t>
      </w:r>
      <w:r w:rsidR="00EF18AA" w:rsidRPr="00EF18AA">
        <w:rPr>
          <w:rFonts w:ascii="Times New Roman" w:hAnsi="Times New Roman" w:cs="Times New Roman"/>
          <w:b/>
          <w:szCs w:val="22"/>
        </w:rPr>
        <w:t>CONTRATAÇÃO DE EMPRESA ESPECIALIZADA, NA EXECUÇÃO/ADAPTAÇÃO DE NORMAS DE ACESSIBILIDADE DAS UBS MUNICIPAIS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683AC9">
        <w:rPr>
          <w:rFonts w:ascii="Times New Roman" w:hAnsi="Times New Roman" w:cs="Times New Roman"/>
          <w:color w:val="000000"/>
          <w:szCs w:val="22"/>
        </w:rPr>
        <w:t xml:space="preserve">com recursos do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AF78A3">
        <w:rPr>
          <w:rFonts w:ascii="Times New Roman" w:hAnsi="Times New Roman" w:cs="Times New Roman"/>
          <w:color w:val="000000"/>
          <w:szCs w:val="22"/>
        </w:rPr>
        <w:t>2019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>Processo (</w:t>
      </w:r>
      <w:r w:rsidR="00EF18AA">
        <w:rPr>
          <w:rFonts w:ascii="Times New Roman" w:hAnsi="Times New Roman" w:cs="Times New Roman"/>
          <w:color w:val="000000"/>
          <w:szCs w:val="22"/>
        </w:rPr>
        <w:t>memorial descritivo/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3E375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>/serviços</w:t>
      </w:r>
      <w:r w:rsidR="00683AC9">
        <w:rPr>
          <w:spacing w:val="-8"/>
          <w:szCs w:val="22"/>
        </w:rPr>
        <w:t>/obras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683AC9">
        <w:rPr>
          <w:spacing w:val="-8"/>
          <w:szCs w:val="22"/>
        </w:rPr>
        <w:t>, conforme projeto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AF78A3">
        <w:rPr>
          <w:spacing w:val="-8"/>
          <w:szCs w:val="22"/>
        </w:rPr>
        <w:t xml:space="preserve">máximo </w:t>
      </w:r>
      <w:r w:rsidR="00EF18AA">
        <w:rPr>
          <w:spacing w:val="-8"/>
          <w:szCs w:val="22"/>
        </w:rPr>
        <w:t>de 06(seis) meses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</w:t>
      </w:r>
      <w:r w:rsidR="00AB5CBA">
        <w:rPr>
          <w:spacing w:val="-8"/>
          <w:szCs w:val="22"/>
        </w:rPr>
        <w:t xml:space="preserve">O prazo de </w:t>
      </w:r>
      <w:r w:rsidR="00EF18AA">
        <w:rPr>
          <w:spacing w:val="-8"/>
          <w:szCs w:val="22"/>
        </w:rPr>
        <w:t>início dos trabalhos</w:t>
      </w:r>
      <w:proofErr w:type="gramStart"/>
      <w:r w:rsidR="00EF18AA">
        <w:rPr>
          <w:spacing w:val="-8"/>
          <w:szCs w:val="22"/>
        </w:rPr>
        <w:t>, será</w:t>
      </w:r>
      <w:proofErr w:type="gramEnd"/>
      <w:r w:rsidR="00EF18AA">
        <w:rPr>
          <w:spacing w:val="-8"/>
          <w:szCs w:val="22"/>
        </w:rPr>
        <w:t xml:space="preserve"> de no máximo 05(cinco) dias, podendo ocorrer prorrogações, desde que devidamente justificadas</w:t>
      </w:r>
      <w:r w:rsidR="00AB5CBA">
        <w:rPr>
          <w:spacing w:val="-8"/>
          <w:szCs w:val="22"/>
        </w:rPr>
        <w:t>.</w:t>
      </w:r>
    </w:p>
    <w:p w:rsidR="00EC010B" w:rsidRDefault="00EC010B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dos </w:t>
      </w:r>
      <w:r w:rsidR="00AB5CBA">
        <w:rPr>
          <w:spacing w:val="-10"/>
        </w:rPr>
        <w:t>trabalhos/laudos</w:t>
      </w:r>
      <w:r w:rsidRPr="003E375A">
        <w:rPr>
          <w:spacing w:val="-10"/>
        </w:rPr>
        <w:t xml:space="preserve"> de acordo com as normas técnicas vigentes, </w:t>
      </w:r>
      <w:r w:rsidR="00EC010B">
        <w:rPr>
          <w:spacing w:val="-10"/>
        </w:rPr>
        <w:t xml:space="preserve">em especial da </w:t>
      </w:r>
      <w:r w:rsidR="00683AC9">
        <w:rPr>
          <w:spacing w:val="-10"/>
        </w:rPr>
        <w:t>ABNT/INMETRO</w:t>
      </w:r>
      <w:r w:rsidR="00AF78A3">
        <w:rPr>
          <w:spacing w:val="-10"/>
        </w:rPr>
        <w:t>/NBR</w:t>
      </w:r>
      <w:r w:rsidR="00AB5CBA">
        <w:rPr>
          <w:spacing w:val="-10"/>
        </w:rPr>
        <w:t>, além do CREA/SC,</w:t>
      </w:r>
      <w:r w:rsidR="00EC010B">
        <w:rPr>
          <w:spacing w:val="-10"/>
        </w:rPr>
        <w:t xml:space="preserve"> </w:t>
      </w:r>
      <w:r w:rsidRPr="003E375A">
        <w:rPr>
          <w:spacing w:val="-10"/>
        </w:rPr>
        <w:t xml:space="preserve">bem como de acordo com as especificações </w:t>
      </w:r>
      <w:r w:rsidR="00683AC9">
        <w:rPr>
          <w:spacing w:val="-10"/>
        </w:rPr>
        <w:t xml:space="preserve">do projeto e </w:t>
      </w:r>
      <w:r w:rsidRPr="003E375A">
        <w:rPr>
          <w:spacing w:val="-10"/>
        </w:rPr>
        <w:t>do anexo</w:t>
      </w:r>
      <w:r>
        <w:rPr>
          <w:spacing w:val="-10"/>
        </w:rPr>
        <w:t xml:space="preserve"> II</w:t>
      </w:r>
      <w:r w:rsidR="00AF78A3">
        <w:rPr>
          <w:spacing w:val="-10"/>
        </w:rPr>
        <w:t xml:space="preserve"> que integra Edital, além do cumprimento das normas do CDC;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>respectiva Secretaria</w:t>
      </w:r>
      <w:r w:rsidR="00683AC9">
        <w:rPr>
          <w:spacing w:val="-10"/>
        </w:rPr>
        <w:t>/Gabinete</w:t>
      </w:r>
      <w:r w:rsidR="00717D46">
        <w:rPr>
          <w:spacing w:val="-10"/>
        </w:rPr>
        <w:t xml:space="preserve">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</w:t>
      </w:r>
      <w:r w:rsidR="00EF18AA">
        <w:t>boletim de medição</w:t>
      </w:r>
      <w:r w:rsidR="00186FA0" w:rsidRPr="00186FA0">
        <w:t xml:space="preserve"> realizado(s)</w:t>
      </w:r>
      <w:r w:rsidR="00AB2C3A" w:rsidRPr="00186FA0">
        <w:rPr>
          <w:spacing w:val="-8"/>
        </w:rPr>
        <w:t xml:space="preserve">. </w:t>
      </w:r>
      <w:r w:rsidR="00AB5CBA">
        <w:rPr>
          <w:spacing w:val="-8"/>
        </w:rPr>
        <w:t xml:space="preserve">Deverá, ainda, cumprir o previsto no item </w:t>
      </w:r>
      <w:r w:rsidR="00EF18AA">
        <w:rPr>
          <w:spacing w:val="-8"/>
        </w:rPr>
        <w:t xml:space="preserve">1.4 e </w:t>
      </w:r>
      <w:r w:rsidR="00AB5CBA">
        <w:rPr>
          <w:spacing w:val="-8"/>
        </w:rPr>
        <w:t>4.4 do edital.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lastRenderedPageBreak/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AF78A3">
        <w:rPr>
          <w:spacing w:val="-8"/>
          <w:szCs w:val="22"/>
        </w:rPr>
        <w:t>2019</w:t>
      </w:r>
      <w:r w:rsidR="00505384">
        <w:rPr>
          <w:spacing w:val="-8"/>
          <w:szCs w:val="22"/>
        </w:rPr>
        <w:t xml:space="preserve">, </w:t>
      </w:r>
      <w:r w:rsidR="00EF18AA">
        <w:rPr>
          <w:spacing w:val="-8"/>
          <w:szCs w:val="22"/>
        </w:rPr>
        <w:t xml:space="preserve">devendo as obras </w:t>
      </w:r>
      <w:proofErr w:type="gramStart"/>
      <w:r w:rsidR="00EF18AA">
        <w:rPr>
          <w:spacing w:val="-8"/>
          <w:szCs w:val="22"/>
        </w:rPr>
        <w:t>serem</w:t>
      </w:r>
      <w:proofErr w:type="gramEnd"/>
      <w:r w:rsidR="00EF18AA">
        <w:rPr>
          <w:spacing w:val="-8"/>
          <w:szCs w:val="22"/>
        </w:rPr>
        <w:t xml:space="preserve"> finalizadas no prazo máximo de 06(seis) meses, com início no prazo máximo de 05(cinco) dias.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881115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AF78A3">
        <w:rPr>
          <w:spacing w:val="-8"/>
          <w:szCs w:val="22"/>
        </w:rPr>
        <w:t>2019</w:t>
      </w:r>
      <w:r w:rsidR="00717D46">
        <w:rPr>
          <w:spacing w:val="-8"/>
          <w:szCs w:val="22"/>
        </w:rPr>
        <w:t>.</w:t>
      </w:r>
    </w:p>
    <w:p w:rsidR="00677BB5" w:rsidRDefault="00677BB5" w:rsidP="0063661B">
      <w:pPr>
        <w:ind w:right="-135"/>
        <w:jc w:val="both"/>
        <w:rPr>
          <w:spacing w:val="-8"/>
          <w:szCs w:val="22"/>
        </w:rPr>
      </w:pPr>
    </w:p>
    <w:p w:rsidR="00EF18AA" w:rsidRDefault="00EF18AA" w:rsidP="00EF18A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Dotação – 15.01 – FMS – 2.026 – 3.3.90</w:t>
      </w:r>
    </w:p>
    <w:p w:rsidR="00AB5CBA" w:rsidRDefault="00AB5CBA" w:rsidP="0063661B">
      <w:pPr>
        <w:ind w:right="-135"/>
        <w:jc w:val="both"/>
        <w:rPr>
          <w:b/>
          <w:spacing w:val="-8"/>
          <w:szCs w:val="22"/>
        </w:rPr>
      </w:pPr>
    </w:p>
    <w:p w:rsidR="00EF18AA" w:rsidRDefault="00EF18AA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2A4838">
        <w:rPr>
          <w:spacing w:val="-8"/>
          <w:szCs w:val="22"/>
        </w:rPr>
        <w:t>014</w:t>
      </w:r>
      <w:r w:rsidR="0006759B">
        <w:rPr>
          <w:spacing w:val="-8"/>
          <w:szCs w:val="22"/>
        </w:rPr>
        <w:t>/</w:t>
      </w:r>
      <w:r w:rsidR="00AF78A3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6229C5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F78A3" w:rsidRDefault="00AF78A3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746629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AF78A3">
        <w:rPr>
          <w:spacing w:val="-8"/>
          <w:szCs w:val="22"/>
        </w:rPr>
        <w:t>2019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F78A3" w:rsidRDefault="00AF78A3" w:rsidP="0063661B">
      <w:pPr>
        <w:ind w:right="-135"/>
        <w:jc w:val="center"/>
        <w:rPr>
          <w:spacing w:val="-8"/>
          <w:szCs w:val="22"/>
        </w:rPr>
      </w:pPr>
    </w:p>
    <w:p w:rsidR="00AF78A3" w:rsidRDefault="00AF78A3" w:rsidP="0063661B">
      <w:pPr>
        <w:ind w:right="-135"/>
        <w:jc w:val="center"/>
        <w:rPr>
          <w:spacing w:val="-8"/>
          <w:szCs w:val="22"/>
        </w:rPr>
      </w:pPr>
    </w:p>
    <w:p w:rsidR="00717D46" w:rsidRDefault="00AF78A3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</w:t>
      </w:r>
    </w:p>
    <w:p w:rsidR="00717D46" w:rsidRDefault="002A4838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717D46" w:rsidRDefault="002A4838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Fernando Oliveira de Souza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AF78A3" w:rsidRDefault="00AF78A3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46629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AF78A3" w:rsidRDefault="00AF78A3" w:rsidP="00746629">
      <w:pPr>
        <w:ind w:right="-441"/>
        <w:jc w:val="center"/>
        <w:rPr>
          <w:spacing w:val="-8"/>
          <w:szCs w:val="22"/>
        </w:rPr>
      </w:pPr>
    </w:p>
    <w:p w:rsidR="00AB2C3A" w:rsidRDefault="00717D46" w:rsidP="00746629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6759B"/>
    <w:rsid w:val="00075E8F"/>
    <w:rsid w:val="000972D4"/>
    <w:rsid w:val="000E12C0"/>
    <w:rsid w:val="000F2F7F"/>
    <w:rsid w:val="00123246"/>
    <w:rsid w:val="00170959"/>
    <w:rsid w:val="00186FA0"/>
    <w:rsid w:val="001A4C8F"/>
    <w:rsid w:val="001D6C33"/>
    <w:rsid w:val="001F5DCB"/>
    <w:rsid w:val="002239D9"/>
    <w:rsid w:val="0029173F"/>
    <w:rsid w:val="002A4838"/>
    <w:rsid w:val="002B12F0"/>
    <w:rsid w:val="002B310F"/>
    <w:rsid w:val="00304CD6"/>
    <w:rsid w:val="003B312C"/>
    <w:rsid w:val="003D2DFF"/>
    <w:rsid w:val="003E375A"/>
    <w:rsid w:val="00435C88"/>
    <w:rsid w:val="00465BC2"/>
    <w:rsid w:val="00467E4F"/>
    <w:rsid w:val="004938C9"/>
    <w:rsid w:val="00501157"/>
    <w:rsid w:val="00505384"/>
    <w:rsid w:val="005531E5"/>
    <w:rsid w:val="005C46F0"/>
    <w:rsid w:val="005C5369"/>
    <w:rsid w:val="006229C5"/>
    <w:rsid w:val="0063661B"/>
    <w:rsid w:val="00653372"/>
    <w:rsid w:val="00677BB5"/>
    <w:rsid w:val="00677C42"/>
    <w:rsid w:val="00683AC9"/>
    <w:rsid w:val="006C26F7"/>
    <w:rsid w:val="00717D46"/>
    <w:rsid w:val="00746629"/>
    <w:rsid w:val="00756FB6"/>
    <w:rsid w:val="00776ECF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AB5CBA"/>
    <w:rsid w:val="00AF78A3"/>
    <w:rsid w:val="00B30B19"/>
    <w:rsid w:val="00B3147E"/>
    <w:rsid w:val="00B4535A"/>
    <w:rsid w:val="00BA4D35"/>
    <w:rsid w:val="00C5680F"/>
    <w:rsid w:val="00D11487"/>
    <w:rsid w:val="00D574EE"/>
    <w:rsid w:val="00D75087"/>
    <w:rsid w:val="00DE29A1"/>
    <w:rsid w:val="00DF08BB"/>
    <w:rsid w:val="00E16862"/>
    <w:rsid w:val="00E93F2C"/>
    <w:rsid w:val="00EC010B"/>
    <w:rsid w:val="00EF18AA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1641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13</cp:revision>
  <cp:lastPrinted>2008-04-03T18:20:00Z</cp:lastPrinted>
  <dcterms:created xsi:type="dcterms:W3CDTF">2015-01-07T11:40:00Z</dcterms:created>
  <dcterms:modified xsi:type="dcterms:W3CDTF">2019-06-14T21:33:00Z</dcterms:modified>
</cp:coreProperties>
</file>