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B058F5">
        <w:rPr>
          <w:rFonts w:ascii="Times New Roman" w:hAnsi="Times New Roman"/>
          <w:b/>
          <w:iCs/>
        </w:rPr>
        <w:t>025</w:t>
      </w:r>
      <w:r w:rsidR="002A67F3">
        <w:rPr>
          <w:rFonts w:ascii="Times New Roman" w:hAnsi="Times New Roman"/>
          <w:b/>
          <w:iCs/>
        </w:rPr>
        <w:t>/</w:t>
      </w:r>
      <w:r w:rsidR="00B058F5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B058F5">
        <w:t>029</w:t>
      </w:r>
      <w:r>
        <w:t>/</w:t>
      </w:r>
      <w:r w:rsidR="00B058F5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B058F5">
        <w:t>029</w:t>
      </w:r>
      <w:r w:rsidR="00854B95">
        <w:t>/</w:t>
      </w:r>
      <w:r w:rsidR="00B058F5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71525A">
        <w:rPr>
          <w:rFonts w:ascii="Times New Roman" w:hAnsi="Times New Roman" w:cs="Times New Roman"/>
          <w:color w:val="000000"/>
          <w:sz w:val="24"/>
        </w:rPr>
        <w:t>026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E92FB8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E92FB8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E92FB8">
        <w:rPr>
          <w:rFonts w:ascii="Times New Roman" w:hAnsi="Times New Roman" w:cs="Times New Roman"/>
          <w:sz w:val="24"/>
        </w:rPr>
        <w:t>Luiz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058F5">
        <w:rPr>
          <w:rFonts w:ascii="Times New Roman" w:hAnsi="Times New Roman" w:cs="Times New Roman"/>
          <w:spacing w:val="-4"/>
          <w:sz w:val="24"/>
        </w:rPr>
        <w:t>029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B058F5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B058F5">
        <w:rPr>
          <w:rFonts w:ascii="Times New Roman" w:hAnsi="Times New Roman" w:cs="Times New Roman"/>
          <w:spacing w:val="-4"/>
          <w:sz w:val="24"/>
        </w:rPr>
        <w:t>025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B058F5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AQUISIÇÃO </w:t>
      </w:r>
      <w:r w:rsidR="00E92FB8">
        <w:rPr>
          <w:rFonts w:ascii="Times New Roman" w:hAnsi="Times New Roman" w:cs="Times New Roman"/>
          <w:b/>
          <w:szCs w:val="22"/>
        </w:rPr>
        <w:t xml:space="preserve">DE </w:t>
      </w:r>
      <w:r w:rsidR="00785782">
        <w:rPr>
          <w:rFonts w:ascii="Times New Roman" w:hAnsi="Times New Roman" w:cs="Times New Roman"/>
          <w:b/>
          <w:szCs w:val="22"/>
        </w:rPr>
        <w:t>MEDICAMENTOS PARA USO DA FARMÁCIA BÁSICA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</w:t>
      </w:r>
      <w:r w:rsidR="00B058F5">
        <w:rPr>
          <w:rFonts w:ascii="Times New Roman" w:hAnsi="Times New Roman" w:cs="Times New Roman"/>
          <w:color w:val="000000"/>
          <w:szCs w:val="22"/>
        </w:rPr>
        <w:t>20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1D6B5B">
        <w:rPr>
          <w:spacing w:val="-8"/>
          <w:szCs w:val="22"/>
        </w:rPr>
        <w:t>20</w:t>
      </w:r>
      <w:r w:rsidR="00B058F5">
        <w:rPr>
          <w:spacing w:val="-8"/>
          <w:szCs w:val="22"/>
        </w:rPr>
        <w:t>20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1D6B5B">
        <w:rPr>
          <w:spacing w:val="-8"/>
          <w:szCs w:val="22"/>
        </w:rPr>
        <w:t>20</w:t>
      </w:r>
      <w:r w:rsidR="00B058F5">
        <w:rPr>
          <w:spacing w:val="-8"/>
          <w:szCs w:val="22"/>
        </w:rPr>
        <w:t>20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1525A">
        <w:rPr>
          <w:spacing w:val="-8"/>
          <w:szCs w:val="22"/>
        </w:rPr>
        <w:t>02</w:t>
      </w:r>
      <w:r w:rsidR="00B058F5">
        <w:rPr>
          <w:spacing w:val="-8"/>
          <w:szCs w:val="22"/>
        </w:rPr>
        <w:t>5</w:t>
      </w:r>
      <w:r w:rsidR="00775AAE">
        <w:rPr>
          <w:spacing w:val="-8"/>
          <w:szCs w:val="22"/>
        </w:rPr>
        <w:t>/</w:t>
      </w:r>
      <w:r w:rsidR="00B058F5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D6B5B">
        <w:rPr>
          <w:spacing w:val="-8"/>
          <w:szCs w:val="22"/>
        </w:rPr>
        <w:t>201</w:t>
      </w:r>
      <w:r w:rsidR="008D01E4">
        <w:rPr>
          <w:spacing w:val="-8"/>
          <w:szCs w:val="22"/>
        </w:rPr>
        <w:t>9</w:t>
      </w:r>
      <w:r w:rsidR="00B058F5">
        <w:rPr>
          <w:spacing w:val="-8"/>
          <w:szCs w:val="22"/>
        </w:rPr>
        <w:t>/2020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E92FB8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LUIZ FERNANDO OLIVEIRA DE SOUZA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E92FB8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4C69EF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1525A"/>
    <w:rsid w:val="00756FB6"/>
    <w:rsid w:val="0077120A"/>
    <w:rsid w:val="00775AAE"/>
    <w:rsid w:val="00776ECF"/>
    <w:rsid w:val="00785782"/>
    <w:rsid w:val="007C0E9D"/>
    <w:rsid w:val="007C15D7"/>
    <w:rsid w:val="007F631F"/>
    <w:rsid w:val="00854B95"/>
    <w:rsid w:val="00881115"/>
    <w:rsid w:val="008D01E4"/>
    <w:rsid w:val="008F169C"/>
    <w:rsid w:val="009242E7"/>
    <w:rsid w:val="009527C9"/>
    <w:rsid w:val="0095633C"/>
    <w:rsid w:val="00964521"/>
    <w:rsid w:val="00980996"/>
    <w:rsid w:val="009940DD"/>
    <w:rsid w:val="009D0E64"/>
    <w:rsid w:val="00A253A4"/>
    <w:rsid w:val="00A96C3E"/>
    <w:rsid w:val="00A970D3"/>
    <w:rsid w:val="00AA70F1"/>
    <w:rsid w:val="00AB2C3A"/>
    <w:rsid w:val="00AB4542"/>
    <w:rsid w:val="00B058F5"/>
    <w:rsid w:val="00B1028B"/>
    <w:rsid w:val="00B16B40"/>
    <w:rsid w:val="00B22D71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810AF"/>
    <w:rsid w:val="00DD589F"/>
    <w:rsid w:val="00DF08BB"/>
    <w:rsid w:val="00E16862"/>
    <w:rsid w:val="00E17D3C"/>
    <w:rsid w:val="00E5525B"/>
    <w:rsid w:val="00E5643C"/>
    <w:rsid w:val="00E92FB8"/>
    <w:rsid w:val="00E93F2C"/>
    <w:rsid w:val="00EF14BF"/>
    <w:rsid w:val="00F02EAE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1682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2008-04-03T18:20:00Z</cp:lastPrinted>
  <dcterms:created xsi:type="dcterms:W3CDTF">2015-12-01T12:55:00Z</dcterms:created>
  <dcterms:modified xsi:type="dcterms:W3CDTF">2019-12-04T16:54:00Z</dcterms:modified>
</cp:coreProperties>
</file>