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D6953">
        <w:rPr>
          <w:sz w:val="32"/>
          <w:szCs w:val="32"/>
        </w:rPr>
        <w:t>01</w:t>
      </w:r>
      <w:r w:rsidR="003B2BF6" w:rsidRPr="00BD6F5E">
        <w:rPr>
          <w:sz w:val="32"/>
          <w:szCs w:val="32"/>
        </w:rPr>
        <w:t>/201</w:t>
      </w:r>
      <w:r w:rsidR="001B511C">
        <w:rPr>
          <w:sz w:val="32"/>
          <w:szCs w:val="32"/>
        </w:rPr>
        <w:t>6</w:t>
      </w:r>
      <w:r w:rsidRPr="00BD6F5E">
        <w:rPr>
          <w:sz w:val="32"/>
          <w:szCs w:val="32"/>
        </w:rPr>
        <w:t>.</w:t>
      </w:r>
    </w:p>
    <w:p w:rsidR="00CE39DB" w:rsidRDefault="00AC0EA6" w:rsidP="00AC0EA6">
      <w:pPr>
        <w:jc w:val="center"/>
      </w:pPr>
      <w:r>
        <w:t>(Proce</w:t>
      </w:r>
      <w:r w:rsidR="00FE44E0">
        <w:t>sso de Licitação n.º 0</w:t>
      </w:r>
      <w:r w:rsidR="001B511C">
        <w:t>02</w:t>
      </w:r>
      <w:r w:rsidR="00B3343A">
        <w:t>/201</w:t>
      </w:r>
      <w:r w:rsidR="001B511C">
        <w:t>6</w:t>
      </w:r>
      <w:r>
        <w:t>)</w:t>
      </w:r>
    </w:p>
    <w:p w:rsidR="00AC0EA6" w:rsidRDefault="00AC0EA6" w:rsidP="00AC0EA6">
      <w:pPr>
        <w:jc w:val="center"/>
      </w:pPr>
      <w:r>
        <w:t>(Proces</w:t>
      </w:r>
      <w:r w:rsidR="00621AB1">
        <w:t xml:space="preserve">so Administrativo n.º </w:t>
      </w:r>
      <w:r w:rsidR="00FE44E0">
        <w:t>0</w:t>
      </w:r>
      <w:r w:rsidR="001B511C">
        <w:t>02</w:t>
      </w:r>
      <w:r w:rsidR="00B3343A">
        <w:t>/201</w:t>
      </w:r>
      <w:r w:rsidR="001B511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 Cestas Básicas a serem fornecidas à população economicamente carente, após regular estudo da Secretaria de Desenvolvimento Comunitário e Assistência Social,</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FE03DA">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w:t>
      </w:r>
      <w:proofErr w:type="gramStart"/>
      <w:r w:rsidR="00CE39DB" w:rsidRPr="00E2339B">
        <w:rPr>
          <w:color w:val="000000"/>
          <w:sz w:val="22"/>
          <w:szCs w:val="22"/>
        </w:rPr>
        <w:t>envelopes</w:t>
      </w:r>
      <w:proofErr w:type="gramEnd"/>
      <w:r w:rsidR="00CE39DB" w:rsidRPr="00E2339B">
        <w:rPr>
          <w:color w:val="000000"/>
          <w:sz w:val="22"/>
          <w:szCs w:val="22"/>
        </w:rPr>
        <w:t xml:space="preserve">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345C8E">
        <w:rPr>
          <w:b/>
          <w:bCs/>
          <w:color w:val="000000"/>
          <w:sz w:val="22"/>
          <w:szCs w:val="22"/>
        </w:rPr>
        <w:t>1</w:t>
      </w:r>
      <w:r w:rsidR="001B511C">
        <w:rPr>
          <w:b/>
          <w:bCs/>
          <w:color w:val="000000"/>
          <w:sz w:val="22"/>
          <w:szCs w:val="22"/>
        </w:rPr>
        <w:t>4</w:t>
      </w:r>
      <w:r w:rsidR="00345C8E">
        <w:rPr>
          <w:b/>
          <w:bCs/>
          <w:color w:val="000000"/>
          <w:sz w:val="22"/>
          <w:szCs w:val="22"/>
        </w:rPr>
        <w:t>:00</w:t>
      </w:r>
      <w:proofErr w:type="gramEnd"/>
      <w:r w:rsidR="00345C8E">
        <w:rPr>
          <w:b/>
          <w:bCs/>
          <w:color w:val="000000"/>
          <w:sz w:val="22"/>
          <w:szCs w:val="22"/>
        </w:rPr>
        <w:t xml:space="preserve"> </w:t>
      </w:r>
      <w:proofErr w:type="spellStart"/>
      <w:r w:rsidR="00345C8E">
        <w:rPr>
          <w:b/>
          <w:bCs/>
          <w:color w:val="000000"/>
          <w:sz w:val="22"/>
          <w:szCs w:val="22"/>
        </w:rPr>
        <w:t>hs</w:t>
      </w:r>
      <w:proofErr w:type="spellEnd"/>
      <w:r w:rsidR="00345C8E">
        <w:rPr>
          <w:b/>
          <w:bCs/>
          <w:color w:val="000000"/>
          <w:sz w:val="22"/>
          <w:szCs w:val="22"/>
        </w:rPr>
        <w:t xml:space="preserve"> do dia </w:t>
      </w:r>
      <w:r w:rsidR="001B511C">
        <w:rPr>
          <w:b/>
          <w:bCs/>
          <w:color w:val="000000"/>
          <w:sz w:val="22"/>
          <w:szCs w:val="22"/>
        </w:rPr>
        <w:t>28/04/2016</w:t>
      </w:r>
      <w:r w:rsidR="00057634" w:rsidRPr="00E2339B">
        <w:rPr>
          <w:b/>
          <w:bCs/>
          <w:color w:val="000000"/>
          <w:sz w:val="22"/>
          <w:szCs w:val="22"/>
        </w:rPr>
        <w:t xml:space="preserve">. Abertura da sessão será às </w:t>
      </w:r>
      <w:proofErr w:type="gramStart"/>
      <w:r w:rsidR="001B511C">
        <w:rPr>
          <w:b/>
          <w:bCs/>
          <w:color w:val="000000"/>
          <w:sz w:val="22"/>
          <w:szCs w:val="22"/>
        </w:rPr>
        <w:t>14</w:t>
      </w:r>
      <w:r w:rsidR="00345C8E">
        <w:rPr>
          <w:b/>
          <w:bCs/>
          <w:color w:val="000000"/>
          <w:sz w:val="22"/>
          <w:szCs w:val="22"/>
        </w:rPr>
        <w:t>:15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345C8E">
        <w:rPr>
          <w:b/>
          <w:color w:val="000000"/>
          <w:sz w:val="22"/>
          <w:szCs w:val="22"/>
        </w:rPr>
        <w:t xml:space="preserve"> </w:t>
      </w:r>
      <w:r w:rsidR="001B511C">
        <w:rPr>
          <w:b/>
          <w:color w:val="000000"/>
          <w:sz w:val="22"/>
          <w:szCs w:val="22"/>
        </w:rPr>
        <w:t>POR ITEM</w:t>
      </w:r>
      <w:r w:rsidR="00562461">
        <w:rPr>
          <w:b/>
          <w:color w:val="000000"/>
          <w:sz w:val="22"/>
          <w:szCs w:val="22"/>
        </w:rPr>
        <w:t xml:space="preserve"> (POR CESTA BÁSICA)</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aquisição de Cestas Básicas a serem fornecidas à população economicamente carente, após regular estudo da Secretaria de Desenvolvimento Comunitário e Assistência Social</w:t>
      </w:r>
      <w:r w:rsidR="00A81D34">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1B511C">
        <w:rPr>
          <w:color w:val="000000"/>
          <w:sz w:val="22"/>
          <w:szCs w:val="22"/>
        </w:rPr>
        <w:t>6</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E03DA">
        <w:rPr>
          <w:bCs/>
          <w:color w:val="000000"/>
          <w:sz w:val="22"/>
          <w:szCs w:val="22"/>
          <w:u w:val="single"/>
        </w:rPr>
        <w:t xml:space="preserve"> </w:t>
      </w:r>
      <w:r w:rsidR="00FE03DA" w:rsidRPr="00FE03DA">
        <w:rPr>
          <w:b/>
          <w:bCs/>
          <w:color w:val="000000"/>
          <w:sz w:val="22"/>
          <w:szCs w:val="22"/>
        </w:rPr>
        <w:t>(</w:t>
      </w:r>
      <w:proofErr w:type="gramStart"/>
      <w:r w:rsidR="00FE03DA" w:rsidRPr="00FE03DA">
        <w:rPr>
          <w:b/>
          <w:bCs/>
          <w:color w:val="000000"/>
          <w:sz w:val="22"/>
          <w:szCs w:val="22"/>
        </w:rPr>
        <w:t>sob pena</w:t>
      </w:r>
      <w:proofErr w:type="gramEnd"/>
      <w:r w:rsidR="00FE03DA" w:rsidRPr="00FE03DA">
        <w:rPr>
          <w:b/>
          <w:bCs/>
          <w:color w:val="000000"/>
          <w:sz w:val="22"/>
          <w:szCs w:val="22"/>
        </w:rPr>
        <w:t xml:space="preserve"> de desclassificação em caso de omissão e/ou prazo inferior</w:t>
      </w:r>
      <w:r w:rsidR="00FE03DA">
        <w:rPr>
          <w:bCs/>
          <w:color w:val="000000"/>
          <w:sz w:val="22"/>
          <w:szCs w:val="22"/>
          <w:u w:val="single"/>
        </w:rPr>
        <w:t>)</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1B511C">
        <w:rPr>
          <w:sz w:val="22"/>
          <w:szCs w:val="22"/>
        </w:rPr>
        <w:t>6</w:t>
      </w:r>
      <w:r w:rsidR="00B3343A">
        <w:rPr>
          <w:sz w:val="22"/>
          <w:szCs w:val="22"/>
        </w:rPr>
        <w:t xml:space="preserve">, </w:t>
      </w:r>
      <w:r w:rsidR="00692C68">
        <w:rPr>
          <w:sz w:val="22"/>
          <w:szCs w:val="22"/>
        </w:rPr>
        <w:t>ou seja, o contrato vigorará até 31 de dezembro de 201</w:t>
      </w:r>
      <w:r w:rsidR="001B511C">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FE03DA">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50111" w:rsidRDefault="006E27BB" w:rsidP="002722F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1B511C">
        <w:rPr>
          <w:color w:val="000000"/>
          <w:sz w:val="22"/>
          <w:szCs w:val="22"/>
        </w:rPr>
        <w:t>6</w:t>
      </w:r>
      <w:r w:rsidR="002722F9">
        <w:rPr>
          <w:color w:val="000000"/>
          <w:sz w:val="22"/>
          <w:szCs w:val="22"/>
        </w:rPr>
        <w:t>.</w:t>
      </w:r>
    </w:p>
    <w:p w:rsidR="002722F9" w:rsidRDefault="002722F9" w:rsidP="002722F9">
      <w:pPr>
        <w:widowControl w:val="0"/>
        <w:autoSpaceDE w:val="0"/>
        <w:autoSpaceDN w:val="0"/>
        <w:adjustRightInd w:val="0"/>
        <w:jc w:val="both"/>
        <w:rPr>
          <w:color w:val="000000"/>
          <w:sz w:val="22"/>
          <w:szCs w:val="22"/>
        </w:rPr>
      </w:pP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2722F9">
        <w:rPr>
          <w:color w:val="000000"/>
          <w:sz w:val="22"/>
          <w:szCs w:val="22"/>
        </w:rPr>
        <w:t xml:space="preserve"> </w:t>
      </w:r>
      <w:r w:rsidR="002722F9" w:rsidRPr="002722F9">
        <w:rPr>
          <w:b/>
          <w:color w:val="000000"/>
          <w:sz w:val="22"/>
          <w:szCs w:val="22"/>
        </w:rPr>
        <w:t>(DO OUTORGANTE E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45C8E">
        <w:rPr>
          <w:b/>
          <w:sz w:val="22"/>
          <w:szCs w:val="22"/>
        </w:rPr>
        <w:t>1</w:t>
      </w:r>
      <w:r w:rsidR="001B511C">
        <w:rPr>
          <w:b/>
          <w:sz w:val="22"/>
          <w:szCs w:val="22"/>
        </w:rPr>
        <w:t>4</w:t>
      </w:r>
      <w:r w:rsidR="00345C8E">
        <w:rPr>
          <w:b/>
          <w:sz w:val="22"/>
          <w:szCs w:val="22"/>
        </w:rPr>
        <w:t>:00</w:t>
      </w:r>
      <w:proofErr w:type="gramEnd"/>
      <w:r w:rsidR="00345C8E">
        <w:rPr>
          <w:b/>
          <w:sz w:val="22"/>
          <w:szCs w:val="22"/>
        </w:rPr>
        <w:t xml:space="preserve"> </w:t>
      </w:r>
      <w:proofErr w:type="spellStart"/>
      <w:r w:rsidR="00345C8E">
        <w:rPr>
          <w:b/>
          <w:sz w:val="22"/>
          <w:szCs w:val="22"/>
        </w:rPr>
        <w:t>hs</w:t>
      </w:r>
      <w:proofErr w:type="spellEnd"/>
      <w:r w:rsidR="00345C8E">
        <w:rPr>
          <w:b/>
          <w:sz w:val="22"/>
          <w:szCs w:val="22"/>
        </w:rPr>
        <w:t xml:space="preserve">. </w:t>
      </w:r>
      <w:proofErr w:type="gramStart"/>
      <w:r w:rsidR="00345C8E">
        <w:rPr>
          <w:b/>
          <w:sz w:val="22"/>
          <w:szCs w:val="22"/>
        </w:rPr>
        <w:t>do</w:t>
      </w:r>
      <w:proofErr w:type="gramEnd"/>
      <w:r w:rsidR="00345C8E">
        <w:rPr>
          <w:b/>
          <w:sz w:val="22"/>
          <w:szCs w:val="22"/>
        </w:rPr>
        <w:t xml:space="preserve"> dia </w:t>
      </w:r>
      <w:r w:rsidR="001B511C">
        <w:rPr>
          <w:b/>
          <w:sz w:val="22"/>
          <w:szCs w:val="22"/>
        </w:rPr>
        <w:t>28/04/2016</w:t>
      </w:r>
      <w:r w:rsidR="00345C8E">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r w:rsidR="002722F9">
        <w:rPr>
          <w:b/>
          <w:bCs/>
          <w:color w:val="000000"/>
          <w:sz w:val="22"/>
          <w:szCs w:val="22"/>
        </w:rPr>
        <w:t xml:space="preserve"> DE OTACÍLIO COSTA</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E50111">
        <w:rPr>
          <w:b/>
          <w:bCs/>
          <w:color w:val="000000"/>
          <w:sz w:val="22"/>
          <w:szCs w:val="22"/>
        </w:rPr>
        <w:t>01</w:t>
      </w:r>
      <w:r w:rsidR="002F3D9B" w:rsidRPr="005F04E7">
        <w:rPr>
          <w:b/>
          <w:bCs/>
          <w:color w:val="000000"/>
          <w:sz w:val="22"/>
          <w:szCs w:val="22"/>
        </w:rPr>
        <w:t>/201</w:t>
      </w:r>
      <w:r w:rsidR="002722F9">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2722F9">
        <w:rPr>
          <w:color w:val="000000"/>
          <w:sz w:val="22"/>
          <w:szCs w:val="22"/>
        </w:rPr>
        <w:t xml:space="preserve"> </w:t>
      </w:r>
      <w:r w:rsidR="002722F9" w:rsidRPr="002722F9">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2722F9" w:rsidRDefault="003275A5" w:rsidP="002722F9">
      <w:pPr>
        <w:widowControl w:val="0"/>
        <w:autoSpaceDE w:val="0"/>
        <w:autoSpaceDN w:val="0"/>
        <w:adjustRightInd w:val="0"/>
        <w:jc w:val="both"/>
        <w:rPr>
          <w:b/>
          <w:bCs/>
          <w:color w:val="000000"/>
          <w:sz w:val="22"/>
          <w:szCs w:val="22"/>
        </w:rPr>
      </w:pPr>
      <w:r>
        <w:rPr>
          <w:b/>
          <w:bCs/>
          <w:color w:val="000000"/>
          <w:sz w:val="22"/>
          <w:szCs w:val="22"/>
        </w:rPr>
        <w:t>FUNDO MUNICIPAL DE ASSISTÊNCIA SOCIAL</w:t>
      </w:r>
      <w:r w:rsidR="002722F9">
        <w:rPr>
          <w:b/>
          <w:bCs/>
          <w:color w:val="000000"/>
          <w:sz w:val="22"/>
          <w:szCs w:val="22"/>
        </w:rPr>
        <w:t xml:space="preserve"> DE </w:t>
      </w:r>
      <w:r w:rsidR="002722F9"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275A5">
        <w:rPr>
          <w:b/>
          <w:bCs/>
          <w:color w:val="000000"/>
          <w:sz w:val="22"/>
          <w:szCs w:val="22"/>
        </w:rPr>
        <w:t>01</w:t>
      </w:r>
      <w:r w:rsidR="002F3D9B" w:rsidRPr="005F04E7">
        <w:rPr>
          <w:b/>
          <w:bCs/>
          <w:color w:val="000000"/>
          <w:sz w:val="22"/>
          <w:szCs w:val="22"/>
        </w:rPr>
        <w:t>/201</w:t>
      </w:r>
      <w:r w:rsidR="002722F9">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comprovação de que possui condições sanitárias, emitido pela Vigilância Sanitária do Município 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 xml:space="preserve">integral do objeto, sob pena </w:t>
      </w:r>
      <w:r w:rsidRPr="007B0A54">
        <w:rPr>
          <w:color w:val="000000"/>
          <w:sz w:val="22"/>
          <w:szCs w:val="22"/>
          <w:shd w:val="clear" w:color="auto" w:fill="FFFFFF"/>
        </w:rPr>
        <w:lastRenderedPageBreak/>
        <w:t>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1B511C">
        <w:rPr>
          <w:sz w:val="22"/>
          <w:szCs w:val="22"/>
        </w:rPr>
        <w:t xml:space="preserve">te, será assegurado o prazo de </w:t>
      </w:r>
      <w:proofErr w:type="gramStart"/>
      <w:r w:rsidR="001B511C">
        <w:rPr>
          <w:sz w:val="22"/>
          <w:szCs w:val="22"/>
        </w:rPr>
        <w:t>5</w:t>
      </w:r>
      <w:proofErr w:type="gramEnd"/>
      <w:r w:rsidRPr="00E2339B">
        <w:rPr>
          <w:sz w:val="22"/>
          <w:szCs w:val="22"/>
        </w:rPr>
        <w:t xml:space="preserve"> (</w:t>
      </w:r>
      <w:r w:rsidR="001B511C">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1B511C">
        <w:rPr>
          <w:b/>
          <w:color w:val="000000"/>
          <w:sz w:val="22"/>
          <w:szCs w:val="22"/>
        </w:rPr>
        <w:t>POR ITEM</w:t>
      </w:r>
      <w:r w:rsidR="003275A5">
        <w:rPr>
          <w:b/>
          <w:color w:val="000000"/>
          <w:sz w:val="22"/>
          <w:szCs w:val="22"/>
        </w:rPr>
        <w:t xml:space="preserve"> (POR CESTA BÁSICA)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B511C">
        <w:rPr>
          <w:color w:val="000000"/>
          <w:sz w:val="22"/>
          <w:szCs w:val="22"/>
        </w:rPr>
        <w:t xml:space="preserve">13 de abril </w:t>
      </w:r>
      <w:r w:rsidR="002F3D9B" w:rsidRPr="005F04E7">
        <w:rPr>
          <w:color w:val="000000"/>
          <w:sz w:val="22"/>
          <w:szCs w:val="22"/>
        </w:rPr>
        <w:t xml:space="preserve"> de</w:t>
      </w:r>
      <w:r w:rsidR="00345C8E">
        <w:rPr>
          <w:color w:val="000000"/>
          <w:sz w:val="22"/>
          <w:szCs w:val="22"/>
        </w:rPr>
        <w:t xml:space="preserve"> </w:t>
      </w:r>
      <w:r w:rsidR="002F3D9B" w:rsidRPr="005F04E7">
        <w:rPr>
          <w:color w:val="000000"/>
          <w:sz w:val="22"/>
          <w:szCs w:val="22"/>
        </w:rPr>
        <w:t xml:space="preserve"> 201</w:t>
      </w:r>
      <w:r w:rsidR="002722F9">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w:t>
      </w:r>
    </w:p>
    <w:sectPr w:rsidR="00800153" w:rsidRPr="00800153" w:rsidSect="00996BB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DA" w:rsidRDefault="00FE03DA">
      <w:r>
        <w:separator/>
      </w:r>
    </w:p>
  </w:endnote>
  <w:endnote w:type="continuationSeparator" w:id="0">
    <w:p w:rsidR="00FE03DA" w:rsidRDefault="00FE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DA" w:rsidRDefault="00FE03D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DA" w:rsidRDefault="00FE03DA">
      <w:r>
        <w:separator/>
      </w:r>
    </w:p>
  </w:footnote>
  <w:footnote w:type="continuationSeparator" w:id="0">
    <w:p w:rsidR="00FE03DA" w:rsidRDefault="00FE0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DA" w:rsidRDefault="00FE03DA">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5D3F"/>
    <w:rsid w:val="001A6D7E"/>
    <w:rsid w:val="001B3AC2"/>
    <w:rsid w:val="001B511C"/>
    <w:rsid w:val="001D09D2"/>
    <w:rsid w:val="001D4E00"/>
    <w:rsid w:val="002013ED"/>
    <w:rsid w:val="002175E9"/>
    <w:rsid w:val="00223A89"/>
    <w:rsid w:val="00245086"/>
    <w:rsid w:val="002554C4"/>
    <w:rsid w:val="0026203F"/>
    <w:rsid w:val="002722F9"/>
    <w:rsid w:val="002A7985"/>
    <w:rsid w:val="002F3D9B"/>
    <w:rsid w:val="00301A9D"/>
    <w:rsid w:val="0031522C"/>
    <w:rsid w:val="0031606A"/>
    <w:rsid w:val="00325F89"/>
    <w:rsid w:val="003275A5"/>
    <w:rsid w:val="00345C8E"/>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62461"/>
    <w:rsid w:val="00564DC5"/>
    <w:rsid w:val="00575E5A"/>
    <w:rsid w:val="005868A7"/>
    <w:rsid w:val="005A2085"/>
    <w:rsid w:val="005A36CB"/>
    <w:rsid w:val="005B391B"/>
    <w:rsid w:val="005B552D"/>
    <w:rsid w:val="005C0063"/>
    <w:rsid w:val="005C55B7"/>
    <w:rsid w:val="005C6D0A"/>
    <w:rsid w:val="005D081D"/>
    <w:rsid w:val="005F04E7"/>
    <w:rsid w:val="005F30F2"/>
    <w:rsid w:val="005F3342"/>
    <w:rsid w:val="00621AB1"/>
    <w:rsid w:val="00671835"/>
    <w:rsid w:val="00692C68"/>
    <w:rsid w:val="006A460D"/>
    <w:rsid w:val="006A7DA2"/>
    <w:rsid w:val="006B4270"/>
    <w:rsid w:val="006D6953"/>
    <w:rsid w:val="006E27BB"/>
    <w:rsid w:val="007548E6"/>
    <w:rsid w:val="007761B0"/>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719E7"/>
    <w:rsid w:val="00980E3C"/>
    <w:rsid w:val="00996BBF"/>
    <w:rsid w:val="00A13E28"/>
    <w:rsid w:val="00A419B8"/>
    <w:rsid w:val="00A557C8"/>
    <w:rsid w:val="00A67AAB"/>
    <w:rsid w:val="00A81D34"/>
    <w:rsid w:val="00AA019A"/>
    <w:rsid w:val="00AA0610"/>
    <w:rsid w:val="00AC0EA6"/>
    <w:rsid w:val="00AF485F"/>
    <w:rsid w:val="00B00B26"/>
    <w:rsid w:val="00B3343A"/>
    <w:rsid w:val="00B46D2C"/>
    <w:rsid w:val="00B50A41"/>
    <w:rsid w:val="00B51F28"/>
    <w:rsid w:val="00B779C4"/>
    <w:rsid w:val="00B91ED7"/>
    <w:rsid w:val="00B94B2B"/>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E83"/>
    <w:rsid w:val="00D27C78"/>
    <w:rsid w:val="00D32F31"/>
    <w:rsid w:val="00D400EE"/>
    <w:rsid w:val="00D74386"/>
    <w:rsid w:val="00D74593"/>
    <w:rsid w:val="00D81A2E"/>
    <w:rsid w:val="00DC5909"/>
    <w:rsid w:val="00DD6619"/>
    <w:rsid w:val="00DD7F66"/>
    <w:rsid w:val="00DE248C"/>
    <w:rsid w:val="00DF7779"/>
    <w:rsid w:val="00E17F83"/>
    <w:rsid w:val="00E2339B"/>
    <w:rsid w:val="00E25573"/>
    <w:rsid w:val="00E330BA"/>
    <w:rsid w:val="00E50111"/>
    <w:rsid w:val="00E67B11"/>
    <w:rsid w:val="00E7202E"/>
    <w:rsid w:val="00EC6046"/>
    <w:rsid w:val="00ED3380"/>
    <w:rsid w:val="00EE6304"/>
    <w:rsid w:val="00F160B9"/>
    <w:rsid w:val="00F168A5"/>
    <w:rsid w:val="00F2521F"/>
    <w:rsid w:val="00F52739"/>
    <w:rsid w:val="00F77118"/>
    <w:rsid w:val="00F906D6"/>
    <w:rsid w:val="00F90877"/>
    <w:rsid w:val="00FA2BBF"/>
    <w:rsid w:val="00FE03D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BF"/>
    <w:rPr>
      <w:sz w:val="24"/>
      <w:szCs w:val="24"/>
    </w:rPr>
  </w:style>
  <w:style w:type="paragraph" w:styleId="Ttulo1">
    <w:name w:val="heading 1"/>
    <w:basedOn w:val="Normal"/>
    <w:next w:val="Normal"/>
    <w:qFormat/>
    <w:rsid w:val="00996BB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6BBF"/>
    <w:pPr>
      <w:widowControl w:val="0"/>
      <w:autoSpaceDE w:val="0"/>
      <w:autoSpaceDN w:val="0"/>
      <w:adjustRightInd w:val="0"/>
      <w:jc w:val="both"/>
    </w:pPr>
    <w:rPr>
      <w:color w:val="000000"/>
      <w:sz w:val="20"/>
      <w:szCs w:val="20"/>
    </w:rPr>
  </w:style>
  <w:style w:type="character" w:styleId="Hyperlink">
    <w:name w:val="Hyperlink"/>
    <w:basedOn w:val="Fontepargpadro"/>
    <w:rsid w:val="00996BBF"/>
    <w:rPr>
      <w:color w:val="0000FF"/>
      <w:u w:val="single"/>
    </w:rPr>
  </w:style>
  <w:style w:type="character" w:styleId="HiperlinkVisitado">
    <w:name w:val="FollowedHyperlink"/>
    <w:basedOn w:val="Fontepargpadro"/>
    <w:rsid w:val="00996BB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4639</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31187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2015-01-28T11:30:00Z</dcterms:created>
  <dcterms:modified xsi:type="dcterms:W3CDTF">2016-04-13T19:17:00Z</dcterms:modified>
</cp:coreProperties>
</file>