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3E25BB">
        <w:rPr>
          <w:rFonts w:ascii="Times New Roman" w:hAnsi="Times New Roman"/>
          <w:b/>
          <w:iCs/>
        </w:rPr>
        <w:t>0</w:t>
      </w:r>
      <w:r w:rsidR="008D564C">
        <w:rPr>
          <w:rFonts w:ascii="Times New Roman" w:hAnsi="Times New Roman"/>
          <w:b/>
          <w:iCs/>
        </w:rPr>
        <w:t>7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8D564C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8D564C">
        <w:t>07</w:t>
      </w:r>
      <w:r>
        <w:t>/201</w:t>
      </w:r>
      <w:r w:rsidR="008D564C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8D564C">
        <w:t>04</w:t>
      </w:r>
      <w:r w:rsidR="00854B95">
        <w:t>/201</w:t>
      </w:r>
      <w:r w:rsidR="008D564C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B85A0F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B85A0F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</w:t>
      </w:r>
      <w:r w:rsidR="00B85A0F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85A0F">
        <w:rPr>
          <w:rFonts w:ascii="Times New Roman" w:hAnsi="Times New Roman" w:cs="Times New Roman"/>
          <w:sz w:val="24"/>
        </w:rPr>
        <w:t>Dorozéti</w:t>
      </w:r>
      <w:proofErr w:type="spellEnd"/>
      <w:r w:rsidR="00B85A0F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8D564C">
        <w:rPr>
          <w:rFonts w:ascii="Times New Roman" w:hAnsi="Times New Roman" w:cs="Times New Roman"/>
          <w:spacing w:val="-4"/>
          <w:sz w:val="24"/>
        </w:rPr>
        <w:t>07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8D564C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8D564C">
        <w:rPr>
          <w:rFonts w:ascii="Times New Roman" w:hAnsi="Times New Roman" w:cs="Times New Roman"/>
          <w:spacing w:val="-4"/>
          <w:sz w:val="24"/>
        </w:rPr>
        <w:t>7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8D564C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E17D3C">
        <w:rPr>
          <w:rFonts w:ascii="Times New Roman" w:hAnsi="Times New Roman" w:cs="Times New Roman"/>
          <w:szCs w:val="22"/>
        </w:rPr>
        <w:t>a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3E25BB" w:rsidRPr="003E25BB">
        <w:rPr>
          <w:rFonts w:ascii="Times New Roman" w:hAnsi="Times New Roman" w:cs="Times New Roman"/>
          <w:b/>
          <w:color w:val="000000"/>
          <w:szCs w:val="22"/>
        </w:rPr>
        <w:t>aquisição de medicamentos para Farmácia Básica Municipal, Serviço Móvel de Atendimento de Urgência, Medicamentos Judiciais e Medicamentos via Concessão Social</w:t>
      </w:r>
      <w:r w:rsidR="008D564C">
        <w:rPr>
          <w:rFonts w:ascii="Times New Roman" w:hAnsi="Times New Roman" w:cs="Times New Roman"/>
          <w:b/>
          <w:color w:val="000000"/>
          <w:szCs w:val="22"/>
        </w:rPr>
        <w:t xml:space="preserve">, </w:t>
      </w:r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 xml:space="preserve">Leites, fraudas, </w:t>
      </w:r>
      <w:proofErr w:type="spellStart"/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>fotas</w:t>
      </w:r>
      <w:proofErr w:type="spellEnd"/>
      <w:r w:rsidR="008D564C" w:rsidRPr="008D564C">
        <w:rPr>
          <w:rFonts w:ascii="Times New Roman" w:hAnsi="Times New Roman" w:cs="Times New Roman"/>
          <w:b/>
          <w:color w:val="000000"/>
          <w:szCs w:val="22"/>
        </w:rPr>
        <w:t xml:space="preserve"> HCG, Lancetas e curativos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8D564C">
        <w:rPr>
          <w:rFonts w:ascii="Times New Roman" w:hAnsi="Times New Roman" w:cs="Times New Roman"/>
          <w:color w:val="000000"/>
          <w:szCs w:val="22"/>
        </w:rPr>
        <w:t>7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>de 201</w:t>
      </w:r>
      <w:r w:rsidR="008D564C">
        <w:rPr>
          <w:spacing w:val="-8"/>
          <w:szCs w:val="22"/>
        </w:rPr>
        <w:t>7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>referentes ao ano base/exercício de 201</w:t>
      </w:r>
      <w:r w:rsidR="008D564C">
        <w:rPr>
          <w:spacing w:val="-8"/>
          <w:szCs w:val="22"/>
        </w:rPr>
        <w:t>7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8D564C">
        <w:rPr>
          <w:spacing w:val="-8"/>
          <w:szCs w:val="22"/>
        </w:rPr>
        <w:t>7</w:t>
      </w:r>
      <w:r w:rsidR="00775AAE">
        <w:rPr>
          <w:spacing w:val="-8"/>
          <w:szCs w:val="22"/>
        </w:rPr>
        <w:t>/</w:t>
      </w:r>
      <w:r w:rsidR="0006759B">
        <w:rPr>
          <w:spacing w:val="-8"/>
          <w:szCs w:val="22"/>
        </w:rPr>
        <w:t>201</w:t>
      </w:r>
      <w:r w:rsidR="008D564C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8D564C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8D564C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DOROZÉTI LUIZ LIMA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15D7"/>
    <w:rsid w:val="007F631F"/>
    <w:rsid w:val="00854B95"/>
    <w:rsid w:val="00881115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85A0F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1692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2008-04-03T18:20:00Z</cp:lastPrinted>
  <dcterms:created xsi:type="dcterms:W3CDTF">2015-11-28T13:04:00Z</dcterms:created>
  <dcterms:modified xsi:type="dcterms:W3CDTF">2016-12-16T12:52:00Z</dcterms:modified>
</cp:coreProperties>
</file>