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0" w:rsidRDefault="006231C0"/>
    <w:p w:rsidR="00A80449" w:rsidRDefault="00A80449"/>
    <w:p w:rsidR="00A80449" w:rsidRDefault="00A80449"/>
    <w:p w:rsidR="00A80449" w:rsidRDefault="00A80449"/>
    <w:p w:rsidR="00501FA0" w:rsidRDefault="00501FA0" w:rsidP="00A80449">
      <w:pPr>
        <w:jc w:val="center"/>
        <w:rPr>
          <w:b/>
          <w:u w:val="single"/>
        </w:rPr>
      </w:pPr>
    </w:p>
    <w:p w:rsidR="00A80449" w:rsidRDefault="00A80449" w:rsidP="00A80449">
      <w:pPr>
        <w:jc w:val="center"/>
        <w:rPr>
          <w:b/>
          <w:u w:val="single"/>
        </w:rPr>
      </w:pPr>
      <w:r w:rsidRPr="00A80449">
        <w:rPr>
          <w:b/>
          <w:u w:val="single"/>
        </w:rPr>
        <w:t xml:space="preserve">PARECER JURÍDICO N.º </w:t>
      </w:r>
      <w:r w:rsidR="00F836F3">
        <w:rPr>
          <w:b/>
          <w:u w:val="single"/>
        </w:rPr>
        <w:t>015</w:t>
      </w:r>
      <w:r w:rsidRPr="00A80449">
        <w:rPr>
          <w:b/>
          <w:u w:val="single"/>
        </w:rPr>
        <w:t>/201</w:t>
      </w:r>
      <w:r w:rsidR="00C224E3">
        <w:rPr>
          <w:b/>
          <w:u w:val="single"/>
        </w:rPr>
        <w:t>7</w:t>
      </w:r>
      <w:r>
        <w:rPr>
          <w:b/>
          <w:u w:val="single"/>
        </w:rPr>
        <w:t xml:space="preserve"> – SETOR DE LICITAÇÕES</w:t>
      </w:r>
    </w:p>
    <w:p w:rsidR="00A80449" w:rsidRDefault="00A80449" w:rsidP="00A80449">
      <w:pPr>
        <w:jc w:val="center"/>
        <w:rPr>
          <w:b/>
          <w:u w:val="single"/>
        </w:rPr>
      </w:pPr>
    </w:p>
    <w:p w:rsidR="00A80449" w:rsidRDefault="00A80449" w:rsidP="00A80449">
      <w:pPr>
        <w:jc w:val="center"/>
        <w:rPr>
          <w:b/>
          <w:u w:val="single"/>
        </w:rPr>
      </w:pPr>
    </w:p>
    <w:p w:rsidR="006956FF" w:rsidRDefault="006956FF" w:rsidP="00A80449">
      <w:pPr>
        <w:jc w:val="center"/>
        <w:rPr>
          <w:b/>
          <w:u w:val="single"/>
        </w:rPr>
      </w:pPr>
    </w:p>
    <w:p w:rsidR="006956FF" w:rsidRDefault="006956FF" w:rsidP="00A80449">
      <w:pPr>
        <w:jc w:val="center"/>
        <w:rPr>
          <w:b/>
          <w:u w:val="single"/>
        </w:rPr>
      </w:pPr>
    </w:p>
    <w:p w:rsidR="006956FF" w:rsidRDefault="006956FF" w:rsidP="00A80449">
      <w:pPr>
        <w:jc w:val="center"/>
        <w:rPr>
          <w:b/>
          <w:u w:val="single"/>
        </w:rPr>
      </w:pPr>
    </w:p>
    <w:p w:rsidR="00A80449" w:rsidRDefault="00A80449" w:rsidP="00A80449">
      <w:pPr>
        <w:jc w:val="center"/>
        <w:rPr>
          <w:b/>
          <w:u w:val="single"/>
        </w:rPr>
      </w:pPr>
    </w:p>
    <w:p w:rsidR="00A80449" w:rsidRDefault="00A80449" w:rsidP="00A80449">
      <w:pPr>
        <w:jc w:val="center"/>
        <w:rPr>
          <w:b/>
          <w:u w:val="single"/>
        </w:rPr>
      </w:pPr>
    </w:p>
    <w:p w:rsidR="00A80449" w:rsidRDefault="00A80449" w:rsidP="00A80449">
      <w:pPr>
        <w:jc w:val="both"/>
        <w:rPr>
          <w:b/>
        </w:rPr>
      </w:pPr>
      <w:r>
        <w:rPr>
          <w:b/>
        </w:rPr>
        <w:t xml:space="preserve">DATA: </w:t>
      </w:r>
      <w:r w:rsidR="00F836F3">
        <w:rPr>
          <w:b/>
        </w:rPr>
        <w:t>03/05/2017</w:t>
      </w:r>
    </w:p>
    <w:p w:rsidR="00A80449" w:rsidRDefault="00A80449" w:rsidP="00A80449">
      <w:pPr>
        <w:jc w:val="both"/>
        <w:rPr>
          <w:b/>
        </w:rPr>
      </w:pPr>
      <w:r>
        <w:rPr>
          <w:b/>
        </w:rPr>
        <w:t xml:space="preserve">ASSUNTO: </w:t>
      </w:r>
      <w:r w:rsidR="00F836F3">
        <w:rPr>
          <w:b/>
        </w:rPr>
        <w:t xml:space="preserve">IMPUGNAÇÃO EDITAL – PREGÃO 021/2017 - </w:t>
      </w:r>
      <w:r w:rsidR="00F836F3" w:rsidRPr="00D320D9">
        <w:rPr>
          <w:b/>
          <w:color w:val="000000"/>
          <w:sz w:val="22"/>
          <w:szCs w:val="22"/>
        </w:rPr>
        <w:t>CONTRATAÇÃO DE EMPRESA ESPECIALIZADA EM SERVIÇOS DE GERENCIAMENTO DE PROJETOS, OBRAS, ELABORAÇÃO DE CORREÇÃO, REPROGRAMAÇÃO DE PROJETOS DE ENGENHARIA CIVIL E FISCALIZAÇÃO DE OBRAS</w:t>
      </w:r>
    </w:p>
    <w:p w:rsidR="00A80449" w:rsidRDefault="00A80449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6956FF" w:rsidRDefault="006956FF" w:rsidP="00A80449">
      <w:pPr>
        <w:rPr>
          <w:b/>
        </w:rPr>
      </w:pPr>
    </w:p>
    <w:p w:rsidR="00A80449" w:rsidRDefault="00A80449" w:rsidP="00A80449">
      <w:pPr>
        <w:rPr>
          <w:b/>
        </w:rPr>
      </w:pPr>
    </w:p>
    <w:p w:rsidR="00FE3BA3" w:rsidRDefault="00AF06F0" w:rsidP="00F836F3">
      <w:pPr>
        <w:jc w:val="both"/>
      </w:pPr>
      <w:r>
        <w:rPr>
          <w:b/>
        </w:rPr>
        <w:tab/>
      </w:r>
      <w:r w:rsidR="00F836F3">
        <w:t xml:space="preserve">Trata-se de Impugnação ao Edital em tela, na qual a empresa </w:t>
      </w:r>
      <w:r w:rsidR="00F836F3" w:rsidRPr="009B2C12">
        <w:rPr>
          <w:b/>
        </w:rPr>
        <w:t>GREIDE ENGENHARIA LTDA EPP</w:t>
      </w:r>
      <w:r w:rsidR="00F836F3">
        <w:t>, questiona os seguintes pontos do edital:</w:t>
      </w:r>
    </w:p>
    <w:p w:rsidR="00F836F3" w:rsidRDefault="00F836F3" w:rsidP="00F836F3">
      <w:pPr>
        <w:jc w:val="both"/>
      </w:pPr>
    </w:p>
    <w:p w:rsidR="00F836F3" w:rsidRDefault="00F836F3" w:rsidP="00F836F3">
      <w:pPr>
        <w:jc w:val="both"/>
      </w:pPr>
      <w:r>
        <w:tab/>
        <w:t xml:space="preserve">- Revisão dos critérios </w:t>
      </w:r>
      <w:r w:rsidR="00F00584">
        <w:t>de certificação de capacidade técnica, estipulando parâmetros por metro quadrado e não por hora.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 xml:space="preserve">- </w:t>
      </w:r>
      <w:proofErr w:type="gramStart"/>
      <w:r>
        <w:t>Esclarecimento mais preciso</w:t>
      </w:r>
      <w:proofErr w:type="gramEnd"/>
      <w:r>
        <w:t xml:space="preserve"> acerca do acervo técnico, determinando o objeto de cada serviço;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>- Exclusão da expressão OBRA, permanecendo somente a especificação dos serviços;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>- Correção na data de credenciamento, diante da existência de divergência;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>Inicialmente, temos que a presente impugnação cumpriu os requisitos, mediante protocolo e juntada da documentação, além de ser tempestiva.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>No mais, conforme costumes desta Administração</w:t>
      </w:r>
      <w:proofErr w:type="gramStart"/>
      <w:r>
        <w:t>, temos</w:t>
      </w:r>
      <w:proofErr w:type="gramEnd"/>
      <w:r>
        <w:t xml:space="preserve"> que, mesmo assim, seriam analisadas as teses, em prol do Princípio da </w:t>
      </w:r>
      <w:proofErr w:type="spellStart"/>
      <w:r>
        <w:t>Autotutela</w:t>
      </w:r>
      <w:proofErr w:type="spellEnd"/>
      <w:r>
        <w:t>.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lastRenderedPageBreak/>
        <w:tab/>
        <w:t xml:space="preserve">Com a devida </w:t>
      </w:r>
      <w:r w:rsidRPr="00F00584">
        <w:rPr>
          <w:b/>
          <w:i/>
        </w:rPr>
        <w:t>“vênia”</w:t>
      </w:r>
      <w:r>
        <w:t xml:space="preserve">, temos que inicialmente, </w:t>
      </w:r>
      <w:r w:rsidRPr="009A384E">
        <w:rPr>
          <w:b/>
        </w:rPr>
        <w:t>em relação a</w:t>
      </w:r>
      <w:r w:rsidR="009A384E" w:rsidRPr="009A384E">
        <w:rPr>
          <w:b/>
        </w:rPr>
        <w:t xml:space="preserve">o esclarecimento mais preciso do acervo técnico, com determinação de </w:t>
      </w:r>
      <w:proofErr w:type="gramStart"/>
      <w:r w:rsidR="009A384E" w:rsidRPr="009A384E">
        <w:rPr>
          <w:b/>
        </w:rPr>
        <w:t>cada</w:t>
      </w:r>
      <w:proofErr w:type="gramEnd"/>
      <w:r w:rsidR="009A384E" w:rsidRPr="009A384E">
        <w:rPr>
          <w:b/>
        </w:rPr>
        <w:t xml:space="preserve"> serviços e a</w:t>
      </w:r>
      <w:r w:rsidRPr="009A384E">
        <w:rPr>
          <w:b/>
        </w:rPr>
        <w:t xml:space="preserve"> exclusão da expressão OBRA</w:t>
      </w:r>
      <w:r>
        <w:t>, temos que melhor sorte não assiste à impugnante, pois, conforme claramente disposto, temos que o certame envolverá SERVIÇOS DE GERENCIAMENTO DE PROJETOS E OBRAS, ELABORAÇÃO, CORREÇÃO, REPROGRAMAÇÃO DE PROJETOS DE ENGENHARIA CIVIL E FISCALIZAÇÃO DE OBRAS, AS QUAIS, ainda não são específicas.</w:t>
      </w:r>
    </w:p>
    <w:p w:rsidR="00F00584" w:rsidRDefault="00F00584" w:rsidP="00F836F3">
      <w:pPr>
        <w:jc w:val="both"/>
      </w:pPr>
    </w:p>
    <w:p w:rsidR="00F00584" w:rsidRDefault="00F00584" w:rsidP="00F836F3">
      <w:pPr>
        <w:jc w:val="both"/>
      </w:pPr>
      <w:r>
        <w:tab/>
        <w:t>Desta forma,</w:t>
      </w:r>
      <w:r w:rsidR="009A384E">
        <w:t xml:space="preserve"> diante do fato de a empresa estar à disposição do Município, conforme o caso</w:t>
      </w:r>
      <w:proofErr w:type="gramStart"/>
      <w:r w:rsidR="009A384E">
        <w:t>, temos</w:t>
      </w:r>
      <w:proofErr w:type="gramEnd"/>
      <w:r w:rsidR="009A384E">
        <w:t xml:space="preserve"> que não se pode especificar o que ainda não é taxativo.</w:t>
      </w:r>
    </w:p>
    <w:p w:rsidR="009A384E" w:rsidRDefault="009A384E" w:rsidP="00F836F3">
      <w:pPr>
        <w:jc w:val="both"/>
      </w:pPr>
    </w:p>
    <w:p w:rsidR="009A384E" w:rsidRDefault="009A384E" w:rsidP="00F836F3">
      <w:pPr>
        <w:jc w:val="both"/>
      </w:pPr>
      <w:r>
        <w:tab/>
        <w:t>Desta forma, nestes dois pontos, não assiste razão à impugnante, pois, o Edital é claro neste ponto, devendo a empresa interessada, se adequar às situações, as quais serão especificadas posteriormente.</w:t>
      </w:r>
    </w:p>
    <w:p w:rsidR="009A384E" w:rsidRDefault="009A384E" w:rsidP="00F836F3">
      <w:pPr>
        <w:jc w:val="both"/>
      </w:pPr>
    </w:p>
    <w:p w:rsidR="009A384E" w:rsidRDefault="009A384E" w:rsidP="00F836F3">
      <w:pPr>
        <w:jc w:val="both"/>
      </w:pPr>
      <w:r>
        <w:tab/>
        <w:t xml:space="preserve">Com relação </w:t>
      </w:r>
      <w:proofErr w:type="gramStart"/>
      <w:r>
        <w:t>a</w:t>
      </w:r>
      <w:proofErr w:type="gramEnd"/>
      <w:r>
        <w:t xml:space="preserve"> supressão do temor OBRAS, temos que posteriormente, ocorrerá a fiscalização das mesmas, de maneira que, além da elaboração dos projetos, deverá a empresa proceder com a fiscalização dos mesmos, ou seja, será responsável pela fiscalização do cumprimento do projeto, por ela elaborada, estando, impedida de participar de eventuais certames relacionados à execução.</w:t>
      </w:r>
    </w:p>
    <w:p w:rsidR="009A384E" w:rsidRDefault="009A384E" w:rsidP="00F836F3">
      <w:pPr>
        <w:jc w:val="both"/>
      </w:pPr>
    </w:p>
    <w:p w:rsidR="009A384E" w:rsidRPr="009A384E" w:rsidRDefault="009A384E" w:rsidP="00F836F3">
      <w:pPr>
        <w:jc w:val="both"/>
        <w:rPr>
          <w:b/>
        </w:rPr>
      </w:pPr>
      <w:r>
        <w:tab/>
        <w:t xml:space="preserve">Desta forma, nestes pontos, </w:t>
      </w:r>
      <w:r w:rsidRPr="009A384E">
        <w:rPr>
          <w:b/>
        </w:rPr>
        <w:t>O PARECER É PELO NÃO ACATAMENTO DO PEDIDO, MANTENDO O EDITAL INALTERADO NESTE PONTO.</w:t>
      </w:r>
    </w:p>
    <w:p w:rsidR="009A384E" w:rsidRPr="009A384E" w:rsidRDefault="009A384E" w:rsidP="00F836F3">
      <w:pPr>
        <w:jc w:val="both"/>
        <w:rPr>
          <w:b/>
        </w:rPr>
      </w:pPr>
    </w:p>
    <w:p w:rsidR="009A384E" w:rsidRDefault="009A384E" w:rsidP="00F836F3">
      <w:pPr>
        <w:jc w:val="both"/>
        <w:rPr>
          <w:rStyle w:val="Forte"/>
          <w:b w:val="0"/>
        </w:rPr>
      </w:pPr>
      <w:r>
        <w:rPr>
          <w:rStyle w:val="Forte"/>
          <w:b w:val="0"/>
        </w:rPr>
        <w:tab/>
        <w:t>Sobre os demais temas, diferentemente, entendo que razão assiste à impugnante, mesmo que parcialmente.</w:t>
      </w:r>
    </w:p>
    <w:p w:rsidR="009A384E" w:rsidRDefault="009A384E" w:rsidP="00F836F3">
      <w:pPr>
        <w:jc w:val="both"/>
        <w:rPr>
          <w:rStyle w:val="Forte"/>
          <w:b w:val="0"/>
        </w:rPr>
      </w:pPr>
    </w:p>
    <w:p w:rsidR="009A384E" w:rsidRDefault="009A384E" w:rsidP="00F836F3">
      <w:pPr>
        <w:jc w:val="both"/>
        <w:rPr>
          <w:rStyle w:val="Forte"/>
          <w:b w:val="0"/>
        </w:rPr>
      </w:pPr>
      <w:r>
        <w:rPr>
          <w:rStyle w:val="Forte"/>
          <w:b w:val="0"/>
        </w:rPr>
        <w:tab/>
        <w:t>Isto porque, partindo para a análise da divergência de datas, temos que, o art. 21, §4, da lei 8.666/93, é claro beste sentido, de maneira que, qualquer alteração e/ou correção, prevê a remarcação de data, conforme segue:</w:t>
      </w:r>
    </w:p>
    <w:p w:rsidR="009A384E" w:rsidRPr="009A384E" w:rsidRDefault="009A384E" w:rsidP="00F836F3">
      <w:pPr>
        <w:jc w:val="both"/>
        <w:rPr>
          <w:rStyle w:val="Forte"/>
        </w:rPr>
      </w:pPr>
    </w:p>
    <w:p w:rsidR="009A384E" w:rsidRDefault="009A384E" w:rsidP="00F836F3">
      <w:pPr>
        <w:jc w:val="both"/>
        <w:rPr>
          <w:rStyle w:val="Forte"/>
          <w:b w:val="0"/>
        </w:rPr>
      </w:pPr>
      <w:r w:rsidRPr="009A384E">
        <w:rPr>
          <w:rStyle w:val="Forte"/>
        </w:rPr>
        <w:tab/>
      </w:r>
      <w:r w:rsidRPr="009A384E">
        <w:rPr>
          <w:b/>
          <w:color w:val="000000"/>
          <w:shd w:val="clear" w:color="auto" w:fill="FFFFFF"/>
        </w:rPr>
        <w:t>§ 4</w:t>
      </w:r>
      <w:r w:rsidRPr="009A384E">
        <w:rPr>
          <w:b/>
          <w:color w:val="000000"/>
          <w:u w:val="single"/>
          <w:shd w:val="clear" w:color="auto" w:fill="FFFFFF"/>
          <w:vertAlign w:val="superscript"/>
        </w:rPr>
        <w:t>o</w:t>
      </w:r>
      <w:r w:rsidRPr="009A384E">
        <w:rPr>
          <w:b/>
          <w:color w:val="000000"/>
          <w:shd w:val="clear" w:color="auto" w:fill="FFFFFF"/>
        </w:rPr>
        <w:t xml:space="preserve">  Qualquer modificação no edital exige divulgação pela mesma forma que se deu o texto original, reabrindo-se o prazo inicialmente estabelecido, exceto quando, </w:t>
      </w:r>
      <w:proofErr w:type="spellStart"/>
      <w:r w:rsidRPr="009A384E">
        <w:rPr>
          <w:b/>
          <w:color w:val="000000"/>
          <w:shd w:val="clear" w:color="auto" w:fill="FFFFFF"/>
        </w:rPr>
        <w:t>inqüestionavelmente</w:t>
      </w:r>
      <w:proofErr w:type="spellEnd"/>
      <w:r w:rsidRPr="009A384E">
        <w:rPr>
          <w:b/>
          <w:color w:val="000000"/>
          <w:shd w:val="clear" w:color="auto" w:fill="FFFFFF"/>
        </w:rPr>
        <w:t>, a alteração não afetar a formulação das propostas.</w:t>
      </w:r>
      <w:r w:rsidRPr="009A384E">
        <w:rPr>
          <w:rStyle w:val="Forte"/>
          <w:b w:val="0"/>
        </w:rPr>
        <w:t xml:space="preserve"> </w:t>
      </w:r>
    </w:p>
    <w:p w:rsidR="009A384E" w:rsidRDefault="009A384E" w:rsidP="009A384E">
      <w:pPr>
        <w:rPr>
          <w:rStyle w:val="Forte"/>
          <w:b w:val="0"/>
        </w:rPr>
      </w:pPr>
    </w:p>
    <w:p w:rsidR="009A384E" w:rsidRDefault="009A384E" w:rsidP="009A384E">
      <w:pPr>
        <w:rPr>
          <w:rStyle w:val="Forte"/>
          <w:b w:val="0"/>
        </w:rPr>
      </w:pPr>
      <w:r>
        <w:rPr>
          <w:rStyle w:val="Forte"/>
          <w:b w:val="0"/>
        </w:rPr>
        <w:tab/>
        <w:t xml:space="preserve">Note-se que tal </w:t>
      </w:r>
      <w:r w:rsidR="00C94223">
        <w:rPr>
          <w:rStyle w:val="Forte"/>
          <w:b w:val="0"/>
        </w:rPr>
        <w:t>questão é taxativa e não meramente interpretativa, de maneira que neste ponto, deve ocorrer a correção da informação, com datas não divergentes, mas sim unívocas, evitando assim interpretação errônea e que porventura induza a erro dos participantes do certame.</w:t>
      </w:r>
    </w:p>
    <w:p w:rsidR="00C94223" w:rsidRDefault="00C94223" w:rsidP="009A384E">
      <w:pPr>
        <w:rPr>
          <w:rStyle w:val="Forte"/>
          <w:b w:val="0"/>
        </w:rPr>
      </w:pPr>
    </w:p>
    <w:p w:rsidR="00C94223" w:rsidRDefault="00C94223" w:rsidP="009A384E">
      <w:pPr>
        <w:rPr>
          <w:rStyle w:val="Forte"/>
          <w:b w:val="0"/>
        </w:rPr>
      </w:pPr>
      <w:r>
        <w:rPr>
          <w:rStyle w:val="Forte"/>
          <w:b w:val="0"/>
        </w:rPr>
        <w:tab/>
        <w:t>Com relação ao ponto envolvendo a forma de contratação e de certificação de capacidade técnica, com menção ao Parecer do TCE/SC 1221, temos que o mesmo deve ser analisado de forma restritiva, mas não impede seu real uso.</w:t>
      </w:r>
    </w:p>
    <w:p w:rsidR="00C94223" w:rsidRDefault="00C94223" w:rsidP="009A384E">
      <w:pPr>
        <w:rPr>
          <w:rStyle w:val="Forte"/>
          <w:b w:val="0"/>
        </w:rPr>
      </w:pPr>
    </w:p>
    <w:p w:rsidR="00C94223" w:rsidRDefault="00C94223" w:rsidP="00C94223">
      <w:pPr>
        <w:jc w:val="both"/>
        <w:rPr>
          <w:color w:val="000000"/>
          <w:sz w:val="22"/>
          <w:szCs w:val="22"/>
        </w:rPr>
      </w:pPr>
      <w:r>
        <w:rPr>
          <w:rStyle w:val="Forte"/>
          <w:b w:val="0"/>
        </w:rPr>
        <w:tab/>
        <w:t xml:space="preserve">Isto porque, temos que realmente, o Objeto da presente licitação, envolve prestação de serviços, consistentes em </w:t>
      </w:r>
      <w:r w:rsidRPr="00D320D9">
        <w:rPr>
          <w:b/>
          <w:color w:val="000000"/>
          <w:sz w:val="22"/>
          <w:szCs w:val="22"/>
        </w:rPr>
        <w:t>SERVIÇOS DE GERENCIAMENTO DE PROJETOS, OBRAS, ELABORAÇÃO DE CORREÇÃO, REPROGRAMAÇÃO DE PROJETOS DE ENGENHARIA CIVIL E FISCALIZAÇÃO DE OBRAS</w:t>
      </w:r>
      <w:r>
        <w:rPr>
          <w:color w:val="000000"/>
          <w:sz w:val="22"/>
          <w:szCs w:val="22"/>
        </w:rPr>
        <w:t>, os quais permitem a contratação por hora, mas que realmente, há entendimento mais aceito, pela contratação por Metro quadrado.</w:t>
      </w:r>
    </w:p>
    <w:p w:rsidR="00C94223" w:rsidRDefault="00C94223" w:rsidP="00C94223">
      <w:pPr>
        <w:jc w:val="both"/>
        <w:rPr>
          <w:color w:val="000000"/>
          <w:sz w:val="22"/>
          <w:szCs w:val="22"/>
        </w:rPr>
      </w:pPr>
    </w:p>
    <w:p w:rsidR="00C94223" w:rsidRDefault="00C94223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No presente caso, não há um erro efetivo, pois, diante da FISCALIZAÇÃO, permitido a contratação por meio de pagamento por horas.</w:t>
      </w:r>
    </w:p>
    <w:p w:rsidR="00C94223" w:rsidRDefault="00C94223" w:rsidP="00C94223">
      <w:pPr>
        <w:jc w:val="both"/>
        <w:rPr>
          <w:color w:val="000000"/>
          <w:sz w:val="22"/>
          <w:szCs w:val="22"/>
        </w:rPr>
      </w:pPr>
    </w:p>
    <w:p w:rsidR="00C94223" w:rsidRDefault="00C94223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No entanto, entendo que, em prol do Melhor Interesse Público, deve tal ponto ser acatado, pois, o mesmo serviço pode ser feito em uma hora por um profissional, mas em dez horas por outro, o que ensejaria prejuízos à Municipalidade.</w:t>
      </w:r>
    </w:p>
    <w:p w:rsidR="00C94223" w:rsidRDefault="00C94223" w:rsidP="00C94223">
      <w:pPr>
        <w:jc w:val="both"/>
        <w:rPr>
          <w:color w:val="000000"/>
          <w:sz w:val="22"/>
          <w:szCs w:val="22"/>
        </w:rPr>
      </w:pPr>
    </w:p>
    <w:p w:rsidR="00C94223" w:rsidRDefault="00C94223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Além do mais, a contratação por hora, não permite ainda, a real fiscalização dos trabalhos, ou seja, o valor declarado pelo profissional</w:t>
      </w:r>
      <w:proofErr w:type="gramStart"/>
      <w:r>
        <w:rPr>
          <w:color w:val="000000"/>
          <w:sz w:val="22"/>
          <w:szCs w:val="22"/>
        </w:rPr>
        <w:t>, deverá</w:t>
      </w:r>
      <w:proofErr w:type="gramEnd"/>
      <w:r>
        <w:rPr>
          <w:color w:val="000000"/>
          <w:sz w:val="22"/>
          <w:szCs w:val="22"/>
        </w:rPr>
        <w:t xml:space="preserve"> ser pago pela Municipalidade, que não terá meios de questionar tal forma de cobrança.</w:t>
      </w:r>
    </w:p>
    <w:p w:rsidR="00C94223" w:rsidRDefault="00C94223" w:rsidP="00C94223">
      <w:pPr>
        <w:jc w:val="both"/>
        <w:rPr>
          <w:color w:val="000000"/>
          <w:sz w:val="22"/>
          <w:szCs w:val="22"/>
        </w:rPr>
      </w:pPr>
    </w:p>
    <w:p w:rsidR="00C94223" w:rsidRDefault="00C94223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Desta feita, </w:t>
      </w:r>
      <w:r w:rsidR="00EC1E8A">
        <w:rPr>
          <w:color w:val="000000"/>
          <w:sz w:val="22"/>
          <w:szCs w:val="22"/>
        </w:rPr>
        <w:t xml:space="preserve">entendo que a presente impugnação, merece guarida, mesmo que parcialmente, devendo, ocorrer </w:t>
      </w:r>
      <w:proofErr w:type="gramStart"/>
      <w:r w:rsidR="00EC1E8A">
        <w:rPr>
          <w:color w:val="000000"/>
          <w:sz w:val="22"/>
          <w:szCs w:val="22"/>
        </w:rPr>
        <w:t>a</w:t>
      </w:r>
      <w:proofErr w:type="gramEnd"/>
      <w:r w:rsidR="00EC1E8A">
        <w:rPr>
          <w:color w:val="000000"/>
          <w:sz w:val="22"/>
          <w:szCs w:val="22"/>
        </w:rPr>
        <w:t xml:space="preserve"> retificação do edital, estipulando o pagamento por metro quadrado, referente aos projetos em si, suas elaboração, correções, entre outros, e procedendo com o pagamento por horas, em separado, relacionado à fiscalização, ensejando um processo mais correto, com menor risco de prejuízos.</w:t>
      </w:r>
    </w:p>
    <w:p w:rsidR="009B2C12" w:rsidRDefault="009B2C12" w:rsidP="00C94223">
      <w:pPr>
        <w:jc w:val="both"/>
        <w:rPr>
          <w:color w:val="000000"/>
          <w:sz w:val="22"/>
          <w:szCs w:val="22"/>
        </w:rPr>
      </w:pPr>
    </w:p>
    <w:p w:rsidR="009B2C12" w:rsidRDefault="009B2C12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Desta forma, em consulta feita junto aos órgãos de Engenharia e Arquitetura, verificou-se que as horas são cobradas, </w:t>
      </w:r>
      <w:proofErr w:type="gramStart"/>
      <w:r>
        <w:rPr>
          <w:color w:val="000000"/>
          <w:sz w:val="22"/>
          <w:szCs w:val="22"/>
        </w:rPr>
        <w:t>via de regra</w:t>
      </w:r>
      <w:proofErr w:type="gramEnd"/>
      <w:r>
        <w:rPr>
          <w:color w:val="000000"/>
          <w:sz w:val="22"/>
          <w:szCs w:val="22"/>
        </w:rPr>
        <w:t>, somente em relação à fiscalização, devendo os projetos em si, seres pagos, por metro quadrado, deixando o processo mais unívoco e justo, para todos os envolvidos.</w:t>
      </w:r>
    </w:p>
    <w:p w:rsidR="009B2C12" w:rsidRDefault="009B2C12" w:rsidP="00C94223">
      <w:pPr>
        <w:jc w:val="both"/>
        <w:rPr>
          <w:color w:val="000000"/>
          <w:sz w:val="22"/>
          <w:szCs w:val="22"/>
        </w:rPr>
      </w:pPr>
    </w:p>
    <w:p w:rsidR="009B2C12" w:rsidRDefault="009B2C12" w:rsidP="00C942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Desta forma, entendo que </w:t>
      </w:r>
      <w:proofErr w:type="gramStart"/>
      <w:r>
        <w:rPr>
          <w:color w:val="000000"/>
          <w:sz w:val="22"/>
          <w:szCs w:val="22"/>
        </w:rPr>
        <w:t>deve</w:t>
      </w:r>
      <w:proofErr w:type="gramEnd"/>
      <w:r>
        <w:rPr>
          <w:color w:val="000000"/>
          <w:sz w:val="22"/>
          <w:szCs w:val="22"/>
        </w:rPr>
        <w:t xml:space="preserve"> ocorrer tais adequações, suspendendo o certame, </w:t>
      </w:r>
      <w:r w:rsidR="0081336F">
        <w:rPr>
          <w:color w:val="000000"/>
          <w:sz w:val="22"/>
          <w:szCs w:val="22"/>
        </w:rPr>
        <w:t xml:space="preserve">procedendo-se </w:t>
      </w:r>
      <w:r>
        <w:rPr>
          <w:color w:val="000000"/>
          <w:sz w:val="22"/>
          <w:szCs w:val="22"/>
        </w:rPr>
        <w:t>com as referidas correções, bem como</w:t>
      </w:r>
      <w:r w:rsidR="0081336F">
        <w:rPr>
          <w:color w:val="000000"/>
          <w:sz w:val="22"/>
          <w:szCs w:val="22"/>
        </w:rPr>
        <w:t>, após, seja remarcada a licitação, em prol do Melhor Interesse Público.</w:t>
      </w:r>
    </w:p>
    <w:p w:rsidR="0081336F" w:rsidRDefault="0081336F" w:rsidP="00C94223">
      <w:pPr>
        <w:jc w:val="both"/>
        <w:rPr>
          <w:color w:val="000000"/>
          <w:sz w:val="22"/>
          <w:szCs w:val="22"/>
        </w:rPr>
      </w:pPr>
    </w:p>
    <w:p w:rsidR="009A384E" w:rsidRPr="002549D1" w:rsidRDefault="0081336F" w:rsidP="0081336F">
      <w:pPr>
        <w:jc w:val="both"/>
        <w:rPr>
          <w:rStyle w:val="Forte"/>
          <w:b w:val="0"/>
        </w:rPr>
      </w:pPr>
      <w:r>
        <w:rPr>
          <w:color w:val="000000"/>
          <w:sz w:val="22"/>
          <w:szCs w:val="22"/>
        </w:rPr>
        <w:tab/>
        <w:t>É o parecer.</w:t>
      </w:r>
      <w:r w:rsidR="009A384E">
        <w:rPr>
          <w:rStyle w:val="Forte"/>
          <w:b w:val="0"/>
        </w:rPr>
        <w:tab/>
      </w:r>
    </w:p>
    <w:p w:rsidR="00FE3BA3" w:rsidRPr="002549D1" w:rsidRDefault="00FE3BA3" w:rsidP="00FE3BA3">
      <w:pPr>
        <w:pStyle w:val="NormalWeb"/>
        <w:jc w:val="right"/>
        <w:rPr>
          <w:rStyle w:val="Forte"/>
          <w:b w:val="0"/>
        </w:rPr>
      </w:pPr>
      <w:r w:rsidRPr="002549D1">
        <w:rPr>
          <w:rStyle w:val="Forte"/>
          <w:b w:val="0"/>
        </w:rPr>
        <w:t xml:space="preserve">Otacílio Costa/SC, </w:t>
      </w:r>
      <w:r w:rsidR="0081336F">
        <w:rPr>
          <w:rStyle w:val="Forte"/>
          <w:b w:val="0"/>
        </w:rPr>
        <w:t>03</w:t>
      </w:r>
      <w:r w:rsidRPr="002549D1">
        <w:rPr>
          <w:rStyle w:val="Forte"/>
          <w:b w:val="0"/>
        </w:rPr>
        <w:t xml:space="preserve"> de </w:t>
      </w:r>
      <w:r w:rsidR="0081336F">
        <w:rPr>
          <w:rStyle w:val="Forte"/>
          <w:b w:val="0"/>
        </w:rPr>
        <w:t>maio</w:t>
      </w:r>
      <w:r w:rsidRPr="002549D1">
        <w:rPr>
          <w:rStyle w:val="Forte"/>
          <w:b w:val="0"/>
        </w:rPr>
        <w:t xml:space="preserve"> de 201</w:t>
      </w:r>
      <w:r w:rsidR="00293E87">
        <w:rPr>
          <w:rStyle w:val="Forte"/>
          <w:b w:val="0"/>
        </w:rPr>
        <w:t>7</w:t>
      </w:r>
      <w:r w:rsidRPr="002549D1">
        <w:rPr>
          <w:rStyle w:val="Forte"/>
          <w:b w:val="0"/>
        </w:rPr>
        <w:t>.</w:t>
      </w:r>
    </w:p>
    <w:p w:rsidR="00FE3BA3" w:rsidRPr="002549D1" w:rsidRDefault="00FE3BA3" w:rsidP="00FE3BA3">
      <w:pPr>
        <w:pStyle w:val="NormalWeb"/>
        <w:jc w:val="both"/>
        <w:rPr>
          <w:rStyle w:val="Forte"/>
          <w:b w:val="0"/>
        </w:rPr>
      </w:pPr>
    </w:p>
    <w:p w:rsidR="00FE3BA3" w:rsidRPr="002549D1" w:rsidRDefault="00FE3BA3" w:rsidP="00FE3BA3">
      <w:pPr>
        <w:pStyle w:val="NormalWeb"/>
        <w:jc w:val="center"/>
        <w:rPr>
          <w:rStyle w:val="Forte"/>
          <w:b w:val="0"/>
          <w:i/>
        </w:rPr>
      </w:pPr>
      <w:r w:rsidRPr="002549D1">
        <w:rPr>
          <w:rStyle w:val="Forte"/>
          <w:b w:val="0"/>
          <w:i/>
        </w:rPr>
        <w:t>__________________________________________</w:t>
      </w:r>
    </w:p>
    <w:p w:rsidR="00FE3BA3" w:rsidRPr="002549D1" w:rsidRDefault="00FE3BA3" w:rsidP="00FE3BA3">
      <w:pPr>
        <w:pStyle w:val="NormalWeb"/>
        <w:jc w:val="center"/>
        <w:rPr>
          <w:rStyle w:val="Forte"/>
          <w:i/>
        </w:rPr>
      </w:pPr>
      <w:r w:rsidRPr="002549D1">
        <w:rPr>
          <w:rStyle w:val="Forte"/>
          <w:i/>
        </w:rPr>
        <w:t>Vander Joemir Beber</w:t>
      </w:r>
    </w:p>
    <w:p w:rsidR="002327E9" w:rsidRDefault="00FE3BA3" w:rsidP="00FE3BA3">
      <w:pPr>
        <w:pStyle w:val="NormalWeb"/>
        <w:jc w:val="center"/>
        <w:rPr>
          <w:rStyle w:val="Forte"/>
          <w:i/>
        </w:rPr>
      </w:pPr>
      <w:r w:rsidRPr="002549D1">
        <w:rPr>
          <w:rStyle w:val="Forte"/>
          <w:i/>
        </w:rPr>
        <w:t>Assessor Jurídico – Setor de Licitações</w:t>
      </w:r>
    </w:p>
    <w:p w:rsidR="002549D1" w:rsidRDefault="002549D1" w:rsidP="002549D1">
      <w:pPr>
        <w:jc w:val="both"/>
        <w:rPr>
          <w:i/>
        </w:rPr>
      </w:pPr>
      <w:r>
        <w:rPr>
          <w:i/>
        </w:rPr>
        <w:t>Gabinete do Prefeito/Parecer do Prefeito</w:t>
      </w:r>
    </w:p>
    <w:p w:rsidR="002549D1" w:rsidRDefault="002549D1" w:rsidP="002549D1">
      <w:pPr>
        <w:jc w:val="both"/>
        <w:rPr>
          <w:i/>
        </w:rPr>
      </w:pPr>
    </w:p>
    <w:p w:rsidR="002549D1" w:rsidRDefault="002549D1" w:rsidP="002549D1">
      <w:pPr>
        <w:jc w:val="both"/>
        <w:rPr>
          <w:i/>
        </w:rPr>
      </w:pPr>
      <w:proofErr w:type="gramStart"/>
      <w:r>
        <w:rPr>
          <w:i/>
        </w:rPr>
        <w:t>Acolho,</w:t>
      </w:r>
      <w:proofErr w:type="gramEnd"/>
      <w:r>
        <w:rPr>
          <w:i/>
        </w:rPr>
        <w:t xml:space="preserve"> como razão de decidir, o parecer jurídico acima, </w:t>
      </w:r>
      <w:r w:rsidRPr="0081336F">
        <w:rPr>
          <w:i/>
        </w:rPr>
        <w:t xml:space="preserve">e </w:t>
      </w:r>
      <w:r w:rsidR="0081336F" w:rsidRPr="0081336F">
        <w:rPr>
          <w:i/>
        </w:rPr>
        <w:t xml:space="preserve">determino </w:t>
      </w:r>
      <w:r w:rsidR="0081336F">
        <w:rPr>
          <w:i/>
        </w:rPr>
        <w:t>o seu integral cumprimento, nos termos legais.</w:t>
      </w:r>
    </w:p>
    <w:p w:rsidR="002549D1" w:rsidRDefault="002549D1" w:rsidP="002549D1">
      <w:pPr>
        <w:jc w:val="both"/>
        <w:rPr>
          <w:i/>
        </w:rPr>
      </w:pPr>
      <w:r>
        <w:rPr>
          <w:i/>
        </w:rPr>
        <w:t xml:space="preserve"> </w:t>
      </w:r>
    </w:p>
    <w:p w:rsidR="002549D1" w:rsidRDefault="002549D1" w:rsidP="002549D1">
      <w:pPr>
        <w:jc w:val="right"/>
        <w:rPr>
          <w:i/>
        </w:rPr>
      </w:pPr>
      <w:r w:rsidRPr="007F4496">
        <w:rPr>
          <w:i/>
        </w:rPr>
        <w:t xml:space="preserve"> </w:t>
      </w:r>
      <w:r>
        <w:rPr>
          <w:i/>
        </w:rPr>
        <w:t xml:space="preserve">Em </w:t>
      </w:r>
      <w:r w:rsidR="0081336F">
        <w:rPr>
          <w:i/>
        </w:rPr>
        <w:t>03</w:t>
      </w:r>
      <w:r>
        <w:rPr>
          <w:i/>
        </w:rPr>
        <w:t>/0</w:t>
      </w:r>
      <w:r w:rsidR="0081336F">
        <w:rPr>
          <w:i/>
        </w:rPr>
        <w:t>5</w:t>
      </w:r>
      <w:r>
        <w:rPr>
          <w:i/>
        </w:rPr>
        <w:t>/201</w:t>
      </w:r>
      <w:r w:rsidR="00293E87">
        <w:rPr>
          <w:i/>
        </w:rPr>
        <w:t>7</w:t>
      </w:r>
    </w:p>
    <w:p w:rsidR="002549D1" w:rsidRDefault="002549D1" w:rsidP="002549D1">
      <w:pPr>
        <w:jc w:val="both"/>
        <w:rPr>
          <w:i/>
        </w:rPr>
      </w:pPr>
    </w:p>
    <w:p w:rsidR="002549D1" w:rsidRDefault="002549D1" w:rsidP="002549D1">
      <w:pPr>
        <w:jc w:val="both"/>
        <w:rPr>
          <w:i/>
        </w:rPr>
      </w:pPr>
    </w:p>
    <w:p w:rsidR="002549D1" w:rsidRDefault="002549D1" w:rsidP="002549D1">
      <w:pPr>
        <w:jc w:val="both"/>
        <w:rPr>
          <w:i/>
        </w:rPr>
      </w:pPr>
    </w:p>
    <w:p w:rsidR="002549D1" w:rsidRPr="008A65BB" w:rsidRDefault="002549D1" w:rsidP="002549D1">
      <w:pPr>
        <w:ind w:firstLine="708"/>
        <w:jc w:val="both"/>
        <w:rPr>
          <w:b/>
          <w:i/>
        </w:rPr>
      </w:pPr>
      <w:r>
        <w:rPr>
          <w:b/>
          <w:i/>
        </w:rPr>
        <w:t>Luiz Carlos Xavier</w:t>
      </w:r>
    </w:p>
    <w:p w:rsidR="002549D1" w:rsidRDefault="002549D1" w:rsidP="002549D1">
      <w:pPr>
        <w:ind w:firstLine="708"/>
        <w:jc w:val="both"/>
        <w:rPr>
          <w:b/>
        </w:rPr>
      </w:pPr>
      <w:r>
        <w:rPr>
          <w:b/>
          <w:i/>
        </w:rPr>
        <w:t xml:space="preserve">        Prefeito</w:t>
      </w:r>
    </w:p>
    <w:p w:rsidR="002549D1" w:rsidRPr="002549D1" w:rsidRDefault="002549D1" w:rsidP="00FE3BA3">
      <w:pPr>
        <w:pStyle w:val="NormalWeb"/>
        <w:jc w:val="center"/>
        <w:rPr>
          <w:rStyle w:val="Forte"/>
          <w:i/>
        </w:rPr>
      </w:pPr>
    </w:p>
    <w:sectPr w:rsidR="002549D1" w:rsidRPr="002549D1" w:rsidSect="00327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7E1"/>
    <w:multiLevelType w:val="hybridMultilevel"/>
    <w:tmpl w:val="EE7EE4A0"/>
    <w:lvl w:ilvl="0" w:tplc="14D80A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8B2686"/>
    <w:multiLevelType w:val="hybridMultilevel"/>
    <w:tmpl w:val="E48C78C4"/>
    <w:lvl w:ilvl="0" w:tplc="DDD48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D1F21"/>
    <w:rsid w:val="00016855"/>
    <w:rsid w:val="00017433"/>
    <w:rsid w:val="00025EF9"/>
    <w:rsid w:val="00037D13"/>
    <w:rsid w:val="00066A25"/>
    <w:rsid w:val="00093FE3"/>
    <w:rsid w:val="000F728D"/>
    <w:rsid w:val="00120AF5"/>
    <w:rsid w:val="00146B13"/>
    <w:rsid w:val="001C0213"/>
    <w:rsid w:val="001F7D2A"/>
    <w:rsid w:val="002264EA"/>
    <w:rsid w:val="002327E9"/>
    <w:rsid w:val="002549D1"/>
    <w:rsid w:val="00285797"/>
    <w:rsid w:val="00293E87"/>
    <w:rsid w:val="002C06FF"/>
    <w:rsid w:val="002C6F33"/>
    <w:rsid w:val="003011CF"/>
    <w:rsid w:val="00317A63"/>
    <w:rsid w:val="003278D1"/>
    <w:rsid w:val="003614C3"/>
    <w:rsid w:val="00365897"/>
    <w:rsid w:val="00387101"/>
    <w:rsid w:val="003955C1"/>
    <w:rsid w:val="003D63BA"/>
    <w:rsid w:val="0047301C"/>
    <w:rsid w:val="00477433"/>
    <w:rsid w:val="0048377B"/>
    <w:rsid w:val="004F0948"/>
    <w:rsid w:val="00501FA0"/>
    <w:rsid w:val="0054146C"/>
    <w:rsid w:val="005E6FD6"/>
    <w:rsid w:val="006113AD"/>
    <w:rsid w:val="006231C0"/>
    <w:rsid w:val="006618E8"/>
    <w:rsid w:val="006956FF"/>
    <w:rsid w:val="00697D15"/>
    <w:rsid w:val="006C023A"/>
    <w:rsid w:val="006D0B5B"/>
    <w:rsid w:val="006D1F21"/>
    <w:rsid w:val="006E12F9"/>
    <w:rsid w:val="00746006"/>
    <w:rsid w:val="00762290"/>
    <w:rsid w:val="0081336F"/>
    <w:rsid w:val="008B59F2"/>
    <w:rsid w:val="008D5375"/>
    <w:rsid w:val="008E399F"/>
    <w:rsid w:val="008F7B2B"/>
    <w:rsid w:val="00911527"/>
    <w:rsid w:val="009366B9"/>
    <w:rsid w:val="00941057"/>
    <w:rsid w:val="009670DD"/>
    <w:rsid w:val="00986C5E"/>
    <w:rsid w:val="00990571"/>
    <w:rsid w:val="009A384E"/>
    <w:rsid w:val="009B2C12"/>
    <w:rsid w:val="009D20BC"/>
    <w:rsid w:val="009E6E65"/>
    <w:rsid w:val="009F35C1"/>
    <w:rsid w:val="009F551E"/>
    <w:rsid w:val="00A119C8"/>
    <w:rsid w:val="00A60E08"/>
    <w:rsid w:val="00A65A42"/>
    <w:rsid w:val="00A80449"/>
    <w:rsid w:val="00A93225"/>
    <w:rsid w:val="00AC7092"/>
    <w:rsid w:val="00AE4021"/>
    <w:rsid w:val="00AF06F0"/>
    <w:rsid w:val="00B07B53"/>
    <w:rsid w:val="00B51398"/>
    <w:rsid w:val="00B71187"/>
    <w:rsid w:val="00BC0492"/>
    <w:rsid w:val="00C04288"/>
    <w:rsid w:val="00C224E3"/>
    <w:rsid w:val="00C47178"/>
    <w:rsid w:val="00C71DA0"/>
    <w:rsid w:val="00C860C3"/>
    <w:rsid w:val="00C87276"/>
    <w:rsid w:val="00C94223"/>
    <w:rsid w:val="00CD7E6F"/>
    <w:rsid w:val="00D01F16"/>
    <w:rsid w:val="00D56B95"/>
    <w:rsid w:val="00D67E10"/>
    <w:rsid w:val="00D7031E"/>
    <w:rsid w:val="00D870F9"/>
    <w:rsid w:val="00D97E2E"/>
    <w:rsid w:val="00DD148A"/>
    <w:rsid w:val="00DE4260"/>
    <w:rsid w:val="00DE6B6C"/>
    <w:rsid w:val="00E552B8"/>
    <w:rsid w:val="00E729A3"/>
    <w:rsid w:val="00E83236"/>
    <w:rsid w:val="00E86970"/>
    <w:rsid w:val="00E92528"/>
    <w:rsid w:val="00EB22DD"/>
    <w:rsid w:val="00EC1E8A"/>
    <w:rsid w:val="00ED5E6F"/>
    <w:rsid w:val="00EF5B68"/>
    <w:rsid w:val="00EF7B57"/>
    <w:rsid w:val="00F00584"/>
    <w:rsid w:val="00F162F8"/>
    <w:rsid w:val="00F36156"/>
    <w:rsid w:val="00F45D1B"/>
    <w:rsid w:val="00F54655"/>
    <w:rsid w:val="00F836F3"/>
    <w:rsid w:val="00FA33BA"/>
    <w:rsid w:val="00FD5859"/>
    <w:rsid w:val="00F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7D15"/>
    <w:rPr>
      <w:color w:val="0000FF"/>
      <w:u w:val="single"/>
    </w:rPr>
  </w:style>
  <w:style w:type="paragraph" w:styleId="NormalWeb">
    <w:name w:val="Normal (Web)"/>
    <w:basedOn w:val="Normal"/>
    <w:rsid w:val="00AC70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C7092"/>
  </w:style>
  <w:style w:type="character" w:styleId="Forte">
    <w:name w:val="Strong"/>
    <w:basedOn w:val="Fontepargpadro"/>
    <w:qFormat/>
    <w:rsid w:val="00477433"/>
    <w:rPr>
      <w:b/>
      <w:bCs/>
    </w:rPr>
  </w:style>
  <w:style w:type="paragraph" w:customStyle="1" w:styleId="textonormal">
    <w:name w:val="textonormal"/>
    <w:basedOn w:val="Normal"/>
    <w:rsid w:val="002549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 N</vt:lpstr>
    </vt:vector>
  </TitlesOfParts>
  <Company>PMOC</Company>
  <LinksUpToDate>false</LinksUpToDate>
  <CharactersWithSpaces>5735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http://www.planalto.gov.br/ccivil_03/constituicao/Emendas/Emc/emc65.htm</vt:lpwstr>
      </vt:variant>
      <vt:variant>
        <vt:lpwstr>art2</vt:lpwstr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http://www.planalto.gov.br/ccivil_03/constituicao/Emendas/Emc/emc64.htm</vt:lpwstr>
      </vt:variant>
      <vt:variant>
        <vt:lpwstr>art1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 N</dc:title>
  <dc:creator>PMOC</dc:creator>
  <cp:lastModifiedBy>Wander</cp:lastModifiedBy>
  <cp:revision>3</cp:revision>
  <cp:lastPrinted>2014-02-25T12:25:00Z</cp:lastPrinted>
  <dcterms:created xsi:type="dcterms:W3CDTF">2017-05-03T21:48:00Z</dcterms:created>
  <dcterms:modified xsi:type="dcterms:W3CDTF">2017-05-03T22:03:00Z</dcterms:modified>
</cp:coreProperties>
</file>