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5316E8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Assist. Social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54BA5">
        <w:rPr>
          <w:rFonts w:ascii="Times New Roman" w:hAnsi="Times New Roman"/>
          <w:b/>
          <w:iCs/>
        </w:rPr>
        <w:t>004</w:t>
      </w:r>
      <w:r w:rsidR="002A67F3">
        <w:rPr>
          <w:rFonts w:ascii="Times New Roman" w:hAnsi="Times New Roman"/>
          <w:b/>
          <w:iCs/>
        </w:rPr>
        <w:t>/</w:t>
      </w:r>
      <w:r w:rsidR="00B54BA5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E522DA">
        <w:t>0</w:t>
      </w:r>
      <w:r w:rsidR="00211B3E">
        <w:t>4</w:t>
      </w:r>
      <w:r>
        <w:t>/</w:t>
      </w:r>
      <w:r w:rsidR="00B54BA5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5316E8">
        <w:t>0</w:t>
      </w:r>
      <w:r w:rsidR="00B82B84">
        <w:t>4</w:t>
      </w:r>
      <w:r w:rsidR="00854B95">
        <w:t>/</w:t>
      </w:r>
      <w:r w:rsidR="00B54BA5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FUNDO MUNICIPAL DE </w:t>
      </w:r>
      <w:r w:rsidR="005316E8">
        <w:rPr>
          <w:rFonts w:ascii="Times New Roman" w:hAnsi="Times New Roman" w:cs="Times New Roman"/>
          <w:b/>
          <w:sz w:val="24"/>
        </w:rPr>
        <w:t>ASSIST.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5316E8">
        <w:rPr>
          <w:rFonts w:ascii="Times New Roman" w:hAnsi="Times New Roman" w:cs="Times New Roman"/>
          <w:sz w:val="24"/>
        </w:rPr>
        <w:t>15.043.792/0001/59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ato representada pel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5316E8">
        <w:rPr>
          <w:rFonts w:ascii="Times New Roman" w:hAnsi="Times New Roman" w:cs="Times New Roman"/>
          <w:sz w:val="24"/>
        </w:rPr>
        <w:t>a de Assist</w:t>
      </w:r>
      <w:proofErr w:type="gramEnd"/>
      <w:r w:rsidR="005316E8">
        <w:rPr>
          <w:rFonts w:ascii="Times New Roman" w:hAnsi="Times New Roman" w:cs="Times New Roman"/>
          <w:sz w:val="24"/>
        </w:rPr>
        <w:t xml:space="preserve">. Social </w:t>
      </w:r>
      <w:r w:rsidR="00DF08BB" w:rsidRPr="00A970D3">
        <w:rPr>
          <w:rFonts w:ascii="Times New Roman" w:hAnsi="Times New Roman" w:cs="Times New Roman"/>
          <w:sz w:val="24"/>
        </w:rPr>
        <w:t>Sr</w:t>
      </w:r>
      <w:r w:rsidR="005316E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r w:rsidR="005316E8">
        <w:rPr>
          <w:rFonts w:ascii="Times New Roman" w:hAnsi="Times New Roman" w:cs="Times New Roman"/>
          <w:sz w:val="24"/>
        </w:rPr>
        <w:t>Elaine de Fátima Antunes Barbosa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316E8">
        <w:rPr>
          <w:rFonts w:ascii="Times New Roman" w:hAnsi="Times New Roman" w:cs="Times New Roman"/>
          <w:spacing w:val="-4"/>
          <w:sz w:val="24"/>
        </w:rPr>
        <w:t>0</w:t>
      </w:r>
      <w:r w:rsidR="00211B3E">
        <w:rPr>
          <w:rFonts w:ascii="Times New Roman" w:hAnsi="Times New Roman" w:cs="Times New Roman"/>
          <w:spacing w:val="-4"/>
          <w:sz w:val="24"/>
        </w:rPr>
        <w:t>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B54BA5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316E8">
        <w:rPr>
          <w:rFonts w:ascii="Times New Roman" w:hAnsi="Times New Roman" w:cs="Times New Roman"/>
          <w:spacing w:val="-4"/>
          <w:sz w:val="24"/>
        </w:rPr>
        <w:t>0</w:t>
      </w:r>
      <w:r w:rsidR="00B54BA5">
        <w:rPr>
          <w:rFonts w:ascii="Times New Roman" w:hAnsi="Times New Roman" w:cs="Times New Roman"/>
          <w:spacing w:val="-4"/>
          <w:sz w:val="24"/>
        </w:rPr>
        <w:t>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B54BA5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211B3E" w:rsidRPr="00211B3E">
        <w:rPr>
          <w:rFonts w:ascii="Times New Roman" w:hAnsi="Times New Roman" w:cs="Times New Roman"/>
          <w:b/>
          <w:color w:val="000000"/>
          <w:sz w:val="24"/>
        </w:rPr>
        <w:t>MATERIAIS DE EXPEDIENTE PARA SECRETARIA DE DESENVOLVIMENTO COMUNITÁRIO E ASSIST. SOCIAL, SERVIÇOS E PROGRAMAS</w:t>
      </w:r>
      <w:r w:rsidR="00E17D3C" w:rsidRPr="00211B3E">
        <w:rPr>
          <w:rFonts w:ascii="Times New Roman" w:hAnsi="Times New Roman" w:cs="Times New Roman"/>
          <w:color w:val="000000"/>
          <w:sz w:val="24"/>
        </w:rPr>
        <w:t>,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o</w:t>
      </w:r>
      <w:r w:rsidR="00E522DA">
        <w:rPr>
          <w:rFonts w:ascii="Times New Roman" w:hAnsi="Times New Roman" w:cs="Times New Roman"/>
          <w:color w:val="000000"/>
          <w:sz w:val="24"/>
        </w:rPr>
        <w:t>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qua</w:t>
      </w:r>
      <w:r w:rsidR="00E522DA">
        <w:rPr>
          <w:rFonts w:ascii="Times New Roman" w:hAnsi="Times New Roman" w:cs="Times New Roman"/>
          <w:color w:val="000000"/>
          <w:sz w:val="24"/>
        </w:rPr>
        <w:t>is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E522DA">
        <w:rPr>
          <w:rFonts w:ascii="Times New Roman" w:hAnsi="Times New Roman" w:cs="Times New Roman"/>
          <w:color w:val="000000"/>
          <w:sz w:val="24"/>
        </w:rPr>
        <w:t>ão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B54BA5">
        <w:rPr>
          <w:rFonts w:ascii="Times New Roman" w:hAnsi="Times New Roman" w:cs="Times New Roman"/>
          <w:color w:val="000000"/>
          <w:sz w:val="24"/>
        </w:rPr>
        <w:t>2017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5316E8">
        <w:rPr>
          <w:spacing w:val="-8"/>
          <w:szCs w:val="22"/>
        </w:rPr>
        <w:t xml:space="preserve">s produtos </w:t>
      </w:r>
      <w:r w:rsidR="00AB2C3A">
        <w:rPr>
          <w:spacing w:val="-8"/>
          <w:szCs w:val="22"/>
        </w:rPr>
        <w:t>dever</w:t>
      </w:r>
      <w:r w:rsidR="005316E8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ser entregue</w:t>
      </w:r>
      <w:r w:rsidR="005316E8">
        <w:rPr>
          <w:spacing w:val="-8"/>
          <w:szCs w:val="22"/>
        </w:rPr>
        <w:t>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 Secretaria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1E0E2F">
        <w:rPr>
          <w:spacing w:val="-8"/>
          <w:szCs w:val="22"/>
        </w:rPr>
        <w:t xml:space="preserve"> Se possível, dever</w:t>
      </w:r>
      <w:r w:rsidR="0033095C">
        <w:rPr>
          <w:spacing w:val="-8"/>
          <w:szCs w:val="22"/>
        </w:rPr>
        <w:t>ão</w:t>
      </w:r>
      <w:r w:rsidR="001E0E2F">
        <w:rPr>
          <w:spacing w:val="-8"/>
          <w:szCs w:val="22"/>
        </w:rPr>
        <w:t xml:space="preserve"> ser entregue</w:t>
      </w:r>
      <w:r w:rsidR="0033095C">
        <w:rPr>
          <w:spacing w:val="-8"/>
          <w:szCs w:val="22"/>
        </w:rPr>
        <w:t>s</w:t>
      </w:r>
      <w:r w:rsidR="001E0E2F">
        <w:rPr>
          <w:spacing w:val="-8"/>
          <w:szCs w:val="22"/>
        </w:rPr>
        <w:t xml:space="preserve"> imediatamente.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</w:t>
      </w:r>
      <w:r w:rsidR="0033095C">
        <w:rPr>
          <w:spacing w:val="-10"/>
        </w:rPr>
        <w:t>em plenas condições de uso</w:t>
      </w:r>
      <w:r w:rsidR="00211B3E">
        <w:rPr>
          <w:spacing w:val="-10"/>
        </w:rPr>
        <w:t>, com a garantia mínima prevista no CDC – Código de Defesa do Consumidor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211B3E" w:rsidRDefault="00211B3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211B3E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11B3E" w:rsidRPr="00A05D43" w:rsidRDefault="00211B3E" w:rsidP="00211B3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11B3E" w:rsidRPr="002F4BB1" w:rsidRDefault="00211B3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522DA">
        <w:t>3</w:t>
      </w:r>
      <w:r w:rsidR="00186FA0" w:rsidRPr="00186FA0">
        <w:t>0 (</w:t>
      </w:r>
      <w:r w:rsidR="00E522DA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B54BA5">
        <w:rPr>
          <w:spacing w:val="-8"/>
          <w:szCs w:val="22"/>
        </w:rPr>
        <w:t>2017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16.01 – Fundo Municipal de </w:t>
      </w: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2.032 – Manutenção</w:t>
      </w:r>
      <w:proofErr w:type="gramEnd"/>
      <w:r>
        <w:rPr>
          <w:color w:val="000000"/>
          <w:sz w:val="22"/>
          <w:szCs w:val="22"/>
        </w:rPr>
        <w:t xml:space="preserve"> dos Serviços de Proteção Social Básica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73B77">
        <w:rPr>
          <w:bCs/>
          <w:color w:val="000000"/>
          <w:sz w:val="22"/>
          <w:szCs w:val="22"/>
        </w:rPr>
        <w:t xml:space="preserve">16.01 – Fundo </w:t>
      </w:r>
      <w:r>
        <w:rPr>
          <w:bCs/>
          <w:color w:val="000000"/>
          <w:sz w:val="22"/>
          <w:szCs w:val="22"/>
        </w:rPr>
        <w:t xml:space="preserve">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2.060 – Manutenção</w:t>
      </w:r>
      <w:proofErr w:type="gramEnd"/>
      <w:r>
        <w:rPr>
          <w:bCs/>
          <w:color w:val="000000"/>
          <w:sz w:val="22"/>
          <w:szCs w:val="22"/>
        </w:rPr>
        <w:t xml:space="preserve"> dos serviços de proteção social especial de alta complexidade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16.01 – Fundo 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2.006 – Manutenção das Atividades da </w:t>
      </w:r>
      <w:proofErr w:type="spellStart"/>
      <w:r>
        <w:rPr>
          <w:bCs/>
          <w:color w:val="000000"/>
          <w:sz w:val="22"/>
          <w:szCs w:val="22"/>
        </w:rPr>
        <w:t>Sec</w:t>
      </w:r>
      <w:proofErr w:type="spellEnd"/>
      <w:r>
        <w:rPr>
          <w:bCs/>
          <w:color w:val="000000"/>
          <w:sz w:val="22"/>
          <w:szCs w:val="22"/>
        </w:rPr>
        <w:t xml:space="preserve">/Fundo Municipal de </w:t>
      </w:r>
      <w:proofErr w:type="spellStart"/>
      <w:r>
        <w:rPr>
          <w:bCs/>
          <w:color w:val="000000"/>
          <w:sz w:val="22"/>
          <w:szCs w:val="22"/>
        </w:rPr>
        <w:t>Assist</w:t>
      </w:r>
      <w:proofErr w:type="spellEnd"/>
      <w:r>
        <w:rPr>
          <w:bCs/>
          <w:color w:val="000000"/>
          <w:sz w:val="22"/>
          <w:szCs w:val="22"/>
        </w:rPr>
        <w:t>. Social</w:t>
      </w:r>
    </w:p>
    <w:p w:rsidR="00211B3E" w:rsidRPr="00F73B77" w:rsidRDefault="00211B3E" w:rsidP="00211B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3.3.90 – Aplicações diretas </w:t>
      </w:r>
    </w:p>
    <w:p w:rsidR="00B3147E" w:rsidRPr="0033095C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69593A">
        <w:rPr>
          <w:spacing w:val="-8"/>
          <w:szCs w:val="22"/>
        </w:rPr>
        <w:t>0</w:t>
      </w:r>
      <w:r w:rsidR="00B54BA5">
        <w:rPr>
          <w:spacing w:val="-8"/>
          <w:szCs w:val="22"/>
        </w:rPr>
        <w:t>4</w:t>
      </w:r>
      <w:r w:rsidR="0006759B">
        <w:rPr>
          <w:spacing w:val="-8"/>
          <w:szCs w:val="22"/>
        </w:rPr>
        <w:t>/</w:t>
      </w:r>
      <w:r w:rsidR="00B54BA5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211B3E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B54BA5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FUNDO MUNICIPAL DE </w:t>
      </w:r>
      <w:r w:rsidR="0033095C">
        <w:rPr>
          <w:spacing w:val="-8"/>
          <w:szCs w:val="22"/>
        </w:rPr>
        <w:t>ASSIST. SOCIAL</w:t>
      </w:r>
    </w:p>
    <w:p w:rsidR="001E6622" w:rsidRDefault="0033095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211B3E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E12C0"/>
    <w:rsid w:val="00100163"/>
    <w:rsid w:val="00186FA0"/>
    <w:rsid w:val="001A4C8F"/>
    <w:rsid w:val="001D6C33"/>
    <w:rsid w:val="001E0E2F"/>
    <w:rsid w:val="001E6622"/>
    <w:rsid w:val="00211B3E"/>
    <w:rsid w:val="0029173F"/>
    <w:rsid w:val="002A67F3"/>
    <w:rsid w:val="002B12F0"/>
    <w:rsid w:val="002B310F"/>
    <w:rsid w:val="002F4BB1"/>
    <w:rsid w:val="00304CD6"/>
    <w:rsid w:val="0033095C"/>
    <w:rsid w:val="003B312C"/>
    <w:rsid w:val="003D2DFF"/>
    <w:rsid w:val="003E375A"/>
    <w:rsid w:val="00422A8A"/>
    <w:rsid w:val="00435C88"/>
    <w:rsid w:val="00455BDC"/>
    <w:rsid w:val="00465BC2"/>
    <w:rsid w:val="00467E4F"/>
    <w:rsid w:val="00487CC3"/>
    <w:rsid w:val="0049647D"/>
    <w:rsid w:val="005064D2"/>
    <w:rsid w:val="005316E8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A580A"/>
    <w:rsid w:val="007C15D7"/>
    <w:rsid w:val="00854B95"/>
    <w:rsid w:val="00881115"/>
    <w:rsid w:val="008C6BEE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54BA5"/>
    <w:rsid w:val="00B82B84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22DA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BEE"/>
    <w:rPr>
      <w:sz w:val="24"/>
      <w:szCs w:val="24"/>
    </w:rPr>
  </w:style>
  <w:style w:type="paragraph" w:styleId="Ttulo1">
    <w:name w:val="heading 1"/>
    <w:basedOn w:val="Normal"/>
    <w:next w:val="Normal"/>
    <w:qFormat/>
    <w:rsid w:val="008C6BE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BE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BE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BE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BE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2008-04-03T19:20:00Z</cp:lastPrinted>
  <dcterms:created xsi:type="dcterms:W3CDTF">2015-05-12T12:12:00Z</dcterms:created>
  <dcterms:modified xsi:type="dcterms:W3CDTF">2017-05-23T11:29:00Z</dcterms:modified>
</cp:coreProperties>
</file>