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º 0</w:t>
      </w:r>
      <w:r>
        <w:rPr>
          <w:sz w:val="32"/>
          <w:szCs w:val="32"/>
        </w:rPr>
        <w:t>03</w:t>
      </w:r>
      <w:r w:rsidRPr="00BD6F5E">
        <w:rPr>
          <w:sz w:val="32"/>
          <w:szCs w:val="32"/>
        </w:rPr>
        <w:t>/</w:t>
      </w:r>
      <w:r>
        <w:rPr>
          <w:sz w:val="32"/>
          <w:szCs w:val="32"/>
        </w:rPr>
        <w:t>2017</w:t>
      </w:r>
      <w:r w:rsidRPr="00BD6F5E">
        <w:rPr>
          <w:sz w:val="32"/>
          <w:szCs w:val="32"/>
        </w:rPr>
        <w:t>.</w:t>
      </w:r>
    </w:p>
    <w:p w:rsidR="00B93652" w:rsidRPr="003E7AFA" w:rsidRDefault="00B93652" w:rsidP="00B93652">
      <w:pPr>
        <w:jc w:val="center"/>
        <w:rPr>
          <w:sz w:val="22"/>
          <w:szCs w:val="22"/>
        </w:rPr>
      </w:pPr>
      <w:r>
        <w:rPr>
          <w:sz w:val="22"/>
          <w:szCs w:val="22"/>
        </w:rPr>
        <w:t>(Processo de Licitação n.º 091</w:t>
      </w:r>
      <w:r w:rsidRPr="003E7AFA">
        <w:rPr>
          <w:sz w:val="22"/>
          <w:szCs w:val="22"/>
        </w:rPr>
        <w:t>/</w:t>
      </w:r>
      <w:r>
        <w:rPr>
          <w:sz w:val="22"/>
          <w:szCs w:val="22"/>
        </w:rPr>
        <w:t>2017</w:t>
      </w:r>
      <w:r w:rsidRPr="003E7AFA">
        <w:rPr>
          <w:sz w:val="22"/>
          <w:szCs w:val="22"/>
        </w:rPr>
        <w:t>)</w:t>
      </w:r>
    </w:p>
    <w:p w:rsidR="00B93652" w:rsidRPr="003E7AFA" w:rsidRDefault="00B93652" w:rsidP="00B93652">
      <w:pPr>
        <w:jc w:val="center"/>
        <w:rPr>
          <w:sz w:val="22"/>
          <w:szCs w:val="22"/>
        </w:rPr>
      </w:pPr>
      <w:r>
        <w:rPr>
          <w:sz w:val="22"/>
          <w:szCs w:val="22"/>
        </w:rPr>
        <w:t>(Processo Administrativo n.º 091</w:t>
      </w:r>
      <w:r w:rsidRPr="003E7AFA">
        <w:rPr>
          <w:sz w:val="22"/>
          <w:szCs w:val="22"/>
        </w:rPr>
        <w:t>/</w:t>
      </w:r>
      <w:r>
        <w:rPr>
          <w:sz w:val="22"/>
          <w:szCs w:val="22"/>
        </w:rPr>
        <w:t>2017</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C46A26">
        <w:rPr>
          <w:b/>
          <w:szCs w:val="22"/>
        </w:rPr>
        <w:t xml:space="preserve">CONTRATAÇÃO DE EMPRESA ESPECIALIZADA VISANDO A </w:t>
      </w:r>
      <w:r>
        <w:rPr>
          <w:b/>
          <w:szCs w:val="22"/>
        </w:rPr>
        <w:t>CONSTRUÇÃO DO CENTRO DE EDUCAÇÃO INFANTIL – BAIRRO POÇO RICO – COM FORNECIMENTO DE MÃO DE OBRA E MATERIAIS</w:t>
      </w:r>
      <w:r w:rsidRPr="003E7AFA">
        <w:rPr>
          <w:szCs w:val="22"/>
        </w:rPr>
        <w:t>, conforme especificações/características mínimas, constantes no 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8D26D5">
        <w:rPr>
          <w:b/>
          <w:bCs/>
          <w:szCs w:val="22"/>
        </w:rPr>
        <w:t>14:00</w:t>
      </w:r>
      <w:proofErr w:type="gramEnd"/>
      <w:r w:rsidR="008D26D5">
        <w:rPr>
          <w:b/>
          <w:bCs/>
          <w:szCs w:val="22"/>
        </w:rPr>
        <w:t xml:space="preserve"> h. do dia 20/02/2018</w:t>
      </w:r>
      <w:r>
        <w:rPr>
          <w:b/>
          <w:bCs/>
          <w:szCs w:val="22"/>
        </w:rPr>
        <w:t xml:space="preserve">. </w:t>
      </w:r>
      <w:r w:rsidRPr="003E7AFA">
        <w:rPr>
          <w:b/>
          <w:bCs/>
          <w:szCs w:val="22"/>
        </w:rPr>
        <w:t xml:space="preserve">Abertura da sessão será </w:t>
      </w:r>
      <w:r>
        <w:rPr>
          <w:b/>
          <w:bCs/>
          <w:szCs w:val="22"/>
        </w:rPr>
        <w:t xml:space="preserve">às </w:t>
      </w:r>
      <w:proofErr w:type="gramStart"/>
      <w:r w:rsidR="008D26D5">
        <w:rPr>
          <w:b/>
          <w:bCs/>
          <w:szCs w:val="22"/>
        </w:rPr>
        <w:t>14:15</w:t>
      </w:r>
      <w:proofErr w:type="gramEnd"/>
      <w:r w:rsidR="008D26D5">
        <w:rPr>
          <w:b/>
          <w:bCs/>
          <w:szCs w:val="22"/>
        </w:rPr>
        <w:t xml:space="preserve"> h.</w:t>
      </w:r>
      <w:r>
        <w:rPr>
          <w:b/>
          <w:bCs/>
          <w:szCs w:val="22"/>
        </w:rPr>
        <w:t xml:space="preserve"> do mesmo dia. </w:t>
      </w:r>
      <w:r w:rsidRPr="003E7AFA">
        <w:rPr>
          <w:szCs w:val="22"/>
        </w:rPr>
        <w:t xml:space="preserve"> A presente licitação será do tipo </w:t>
      </w:r>
      <w:r>
        <w:rPr>
          <w:b/>
          <w:szCs w:val="22"/>
        </w:rPr>
        <w:t>MENOR PREÇO 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012519"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Pr="00C46A26">
        <w:rPr>
          <w:b/>
          <w:szCs w:val="22"/>
        </w:rPr>
        <w:t xml:space="preserve">CONTRATAÇÃO DE EMPRESA ESPECIALIZADA VISANDO A </w:t>
      </w:r>
      <w:r>
        <w:rPr>
          <w:b/>
          <w:szCs w:val="22"/>
        </w:rPr>
        <w:t>CONSTRUÇÃO DO CENTRO DE EDUCAÇÃO INFANTIL – BAIRRO POÇO RICO – COM FORNECIMENTO DE MÃO DE OBRA E MATERIAIS</w:t>
      </w:r>
      <w:r w:rsidRPr="00012519">
        <w:rPr>
          <w:sz w:val="22"/>
          <w:szCs w:val="22"/>
        </w:rPr>
        <w:t xml:space="preserve"> </w:t>
      </w:r>
      <w:r w:rsidRPr="003E7AFA">
        <w:rPr>
          <w:szCs w:val="22"/>
        </w:rPr>
        <w:t>conforme especificações/características mínimas, constantes no Anexo II</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w:t>
      </w:r>
      <w:proofErr w:type="spellStart"/>
      <w:r w:rsidRPr="00CE39DB">
        <w:rPr>
          <w:color w:val="000000"/>
          <w:sz w:val="22"/>
          <w:szCs w:val="22"/>
        </w:rPr>
        <w:t>conta-movimento</w:t>
      </w:r>
      <w:proofErr w:type="spellEnd"/>
      <w:r w:rsidRPr="00CE39DB">
        <w:rPr>
          <w:color w:val="000000"/>
          <w:sz w:val="22"/>
          <w:szCs w:val="22"/>
        </w:rPr>
        <w:t xml:space="preserve">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xml:space="preserve">, Otacílio </w:t>
      </w:r>
      <w:proofErr w:type="spellStart"/>
      <w:r w:rsidRPr="00CE39DB">
        <w:rPr>
          <w:color w:val="000000"/>
          <w:sz w:val="22"/>
          <w:szCs w:val="22"/>
        </w:rPr>
        <w:t>Costa</w:t>
      </w:r>
      <w:r>
        <w:rPr>
          <w:color w:val="000000"/>
          <w:sz w:val="22"/>
          <w:szCs w:val="22"/>
        </w:rPr>
        <w:t>-</w:t>
      </w:r>
      <w:r w:rsidRPr="00CE39DB">
        <w:rPr>
          <w:color w:val="000000"/>
          <w:sz w:val="22"/>
          <w:szCs w:val="22"/>
        </w:rPr>
        <w:t>SC</w:t>
      </w:r>
      <w:proofErr w:type="spellEnd"/>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até 31/07/2018,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rçamentários do ano base/exercício do ano de 2018,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2018,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w:t>
      </w:r>
      <w:r>
        <w:rPr>
          <w:sz w:val="22"/>
          <w:szCs w:val="22"/>
        </w:rPr>
        <w:lastRenderedPageBreak/>
        <w:t xml:space="preserve">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201</w:t>
      </w:r>
      <w:r>
        <w:rPr>
          <w:color w:val="000000"/>
          <w:sz w:val="22"/>
          <w:szCs w:val="22"/>
        </w:rPr>
        <w:t>8</w:t>
      </w:r>
      <w:r w:rsidRPr="007B54DC">
        <w:rPr>
          <w:color w:val="000000"/>
          <w:sz w:val="22"/>
          <w:szCs w:val="22"/>
        </w:rPr>
        <w:t xml:space="preserve">, </w:t>
      </w:r>
      <w:r>
        <w:rPr>
          <w:color w:val="000000"/>
          <w:sz w:val="22"/>
          <w:szCs w:val="22"/>
        </w:rPr>
        <w:t>assim consignadas:</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Recursos Próprios – </w:t>
      </w:r>
      <w:proofErr w:type="spellStart"/>
      <w:r>
        <w:rPr>
          <w:color w:val="000000"/>
          <w:sz w:val="22"/>
          <w:szCs w:val="22"/>
        </w:rPr>
        <w:t>Dot</w:t>
      </w:r>
      <w:proofErr w:type="spellEnd"/>
      <w:r>
        <w:rPr>
          <w:color w:val="000000"/>
          <w:sz w:val="22"/>
          <w:szCs w:val="22"/>
        </w:rPr>
        <w:t xml:space="preserve"> 48 - COD 47 – 4490 – subitem 5198</w:t>
      </w: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Recursos salário educação – </w:t>
      </w:r>
      <w:proofErr w:type="spellStart"/>
      <w:r>
        <w:rPr>
          <w:color w:val="000000"/>
          <w:sz w:val="22"/>
          <w:szCs w:val="22"/>
        </w:rPr>
        <w:t>Dot</w:t>
      </w:r>
      <w:proofErr w:type="spellEnd"/>
      <w:r>
        <w:rPr>
          <w:color w:val="000000"/>
          <w:sz w:val="22"/>
          <w:szCs w:val="22"/>
        </w:rPr>
        <w:t xml:space="preserve"> 41 - COD 25 – 4490 – subitem 5198</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 xml:space="preserve">(DO OUTORGANTE E DO OUTORGADO </w:t>
      </w:r>
      <w:proofErr w:type="gramStart"/>
      <w:r w:rsidRPr="00D71885">
        <w:rPr>
          <w:b/>
          <w:color w:val="000000"/>
          <w:sz w:val="22"/>
          <w:szCs w:val="22"/>
        </w:rPr>
        <w:t>SOB PENA</w:t>
      </w:r>
      <w:proofErr w:type="gramEnd"/>
      <w:r w:rsidRPr="00D71885">
        <w:rPr>
          <w:b/>
          <w:color w:val="000000"/>
          <w:sz w:val="22"/>
          <w:szCs w:val="22"/>
        </w:rPr>
        <w:t xml:space="preserve">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CE39DB">
        <w:rPr>
          <w:color w:val="000000"/>
          <w:sz w:val="22"/>
          <w:szCs w:val="22"/>
        </w:rPr>
        <w:lastRenderedPageBreak/>
        <w:t xml:space="preserve">Administrativo, </w:t>
      </w:r>
      <w:r>
        <w:rPr>
          <w:b/>
          <w:sz w:val="22"/>
          <w:szCs w:val="22"/>
        </w:rPr>
        <w:t xml:space="preserve">até às </w:t>
      </w:r>
      <w:proofErr w:type="gramStart"/>
      <w:r w:rsidR="008D26D5">
        <w:rPr>
          <w:b/>
          <w:sz w:val="22"/>
          <w:szCs w:val="22"/>
        </w:rPr>
        <w:t>14:00</w:t>
      </w:r>
      <w:proofErr w:type="gramEnd"/>
      <w:r w:rsidR="008D26D5">
        <w:rPr>
          <w:b/>
          <w:sz w:val="22"/>
          <w:szCs w:val="22"/>
        </w:rPr>
        <w:t xml:space="preserve"> h. do dia 20/02/2018.</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TOMADA DE PREÇOS N.º 003/2017</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lastRenderedPageBreak/>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B93652" w:rsidRPr="00583830" w:rsidRDefault="00B93652" w:rsidP="00B93652">
      <w:pPr>
        <w:autoSpaceDE w:val="0"/>
        <w:autoSpaceDN w:val="0"/>
        <w:adjustRightInd w:val="0"/>
        <w:jc w:val="both"/>
        <w:rPr>
          <w:sz w:val="22"/>
          <w:szCs w:val="22"/>
        </w:rPr>
      </w:pPr>
    </w:p>
    <w:p w:rsidR="00B93652" w:rsidRDefault="00B93652" w:rsidP="00B93652">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B93652"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w:t>
      </w:r>
      <w:proofErr w:type="gramStart"/>
      <w:r>
        <w:rPr>
          <w:color w:val="000000"/>
          <w:sz w:val="22"/>
          <w:szCs w:val="22"/>
        </w:rPr>
        <w:t xml:space="preserve">apresentado </w:t>
      </w:r>
      <w:r w:rsidRPr="00445B5B">
        <w:rPr>
          <w:color w:val="000000"/>
          <w:sz w:val="22"/>
          <w:szCs w:val="22"/>
        </w:rPr>
        <w:t>os seguintes documentos</w:t>
      </w:r>
      <w:proofErr w:type="gramEnd"/>
      <w:r w:rsidRPr="00445B5B">
        <w:rPr>
          <w:color w:val="000000"/>
          <w:sz w:val="22"/>
          <w:szCs w:val="22"/>
        </w:rPr>
        <w:t>:</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B93652" w:rsidRDefault="00B93652" w:rsidP="00B93652">
      <w:pPr>
        <w:widowControl w:val="0"/>
        <w:autoSpaceDE w:val="0"/>
        <w:autoSpaceDN w:val="0"/>
        <w:adjustRightInd w:val="0"/>
        <w:jc w:val="both"/>
        <w:rPr>
          <w:color w:val="000000"/>
          <w:sz w:val="22"/>
          <w:szCs w:val="22"/>
          <w:shd w:val="clear" w:color="auto" w:fill="FFFFFF"/>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9.2.3.1.1 – A Comprovação de aptidão supra descrita, deverá ser apresentada de forma discriminada, ou seja, deverá delimitar, itens de forma específica, com percentual de do mínimo 50% (</w:t>
      </w:r>
      <w:proofErr w:type="spellStart"/>
      <w:r>
        <w:rPr>
          <w:color w:val="000000"/>
          <w:sz w:val="22"/>
          <w:szCs w:val="22"/>
          <w:shd w:val="clear" w:color="auto" w:fill="FFFFFF"/>
        </w:rPr>
        <w:t>cinqüenta</w:t>
      </w:r>
      <w:proofErr w:type="spellEnd"/>
      <w:r>
        <w:rPr>
          <w:color w:val="000000"/>
          <w:sz w:val="22"/>
          <w:szCs w:val="22"/>
          <w:shd w:val="clear" w:color="auto" w:fill="FFFFFF"/>
        </w:rPr>
        <w:t xml:space="preserve"> por cento) por item, REFERENTES </w:t>
      </w:r>
      <w:proofErr w:type="gramStart"/>
      <w:r>
        <w:rPr>
          <w:color w:val="000000"/>
          <w:sz w:val="22"/>
          <w:szCs w:val="22"/>
          <w:shd w:val="clear" w:color="auto" w:fill="FFFFFF"/>
        </w:rPr>
        <w:t>À</w:t>
      </w:r>
      <w:proofErr w:type="gramEnd"/>
      <w:r>
        <w:rPr>
          <w:color w:val="000000"/>
          <w:sz w:val="22"/>
          <w:szCs w:val="22"/>
          <w:shd w:val="clear" w:color="auto" w:fill="FFFFFF"/>
        </w:rPr>
        <w:t xml:space="preserve"> UMA ÚNICA OBRA, conforme segue:</w:t>
      </w:r>
    </w:p>
    <w:p w:rsidR="00B93652" w:rsidRDefault="00B93652" w:rsidP="00B93652">
      <w:pPr>
        <w:widowControl w:val="0"/>
        <w:autoSpaceDE w:val="0"/>
        <w:autoSpaceDN w:val="0"/>
        <w:adjustRightInd w:val="0"/>
        <w:jc w:val="both"/>
        <w:rPr>
          <w:color w:val="000000"/>
          <w:sz w:val="22"/>
          <w:szCs w:val="22"/>
          <w:shd w:val="clear" w:color="auto" w:fill="FFFFFF"/>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Edificação em alvenaria;</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Cobertura;</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Impermeabilização;</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Piso Cerâmico;</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Alvenaria de vedação;</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Instalações elétricas de baixa tensão;</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Instalações hidráulicas;</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Estrutura de concreto armado;</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Esquadrias;</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Pintura;</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Iluminação de emergência;</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Conjunto de extintores;</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w:t>
      </w:r>
      <w:proofErr w:type="spellStart"/>
      <w:r>
        <w:rPr>
          <w:color w:val="000000"/>
          <w:sz w:val="22"/>
          <w:szCs w:val="22"/>
          <w:shd w:val="clear" w:color="auto" w:fill="FFFFFF"/>
        </w:rPr>
        <w:t>Chapisco</w:t>
      </w:r>
      <w:proofErr w:type="spellEnd"/>
      <w:r>
        <w:rPr>
          <w:color w:val="000000"/>
          <w:sz w:val="22"/>
          <w:szCs w:val="22"/>
          <w:shd w:val="clear" w:color="auto" w:fill="FFFFFF"/>
        </w:rPr>
        <w:t>;</w:t>
      </w: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Reboco desempenado;</w:t>
      </w:r>
    </w:p>
    <w:p w:rsidR="00B93652" w:rsidRDefault="00B93652"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(CREA para Engenheiros, OAB para advogados, CRC para Contadores, </w:t>
      </w:r>
      <w:proofErr w:type="spellStart"/>
      <w:r>
        <w:rPr>
          <w:sz w:val="22"/>
          <w:szCs w:val="22"/>
        </w:rPr>
        <w:t>etc</w:t>
      </w:r>
      <w:proofErr w:type="spellEnd"/>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B93652" w:rsidRDefault="00B93652"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9.2.3.1.1,</w:t>
      </w:r>
      <w:r w:rsidRPr="00CD3DFE">
        <w:rPr>
          <w:b/>
          <w:sz w:val="22"/>
          <w:szCs w:val="22"/>
        </w:rPr>
        <w:t xml:space="preserve"> 9.2.3.2, 9.2.3.3</w:t>
      </w:r>
      <w:r>
        <w:rPr>
          <w:b/>
          <w:sz w:val="22"/>
          <w:szCs w:val="22"/>
        </w:rPr>
        <w:t>, 9.2.3.3.1 e</w:t>
      </w:r>
      <w:r w:rsidRPr="00CD3DFE">
        <w:rPr>
          <w:b/>
          <w:sz w:val="22"/>
          <w:szCs w:val="22"/>
        </w:rPr>
        <w:t xml:space="preserve"> 9.2.3.4</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B93652" w:rsidRDefault="00B93652" w:rsidP="00B93652">
      <w:pPr>
        <w:jc w:val="both"/>
        <w:rPr>
          <w:sz w:val="22"/>
          <w:szCs w:val="22"/>
        </w:rPr>
      </w:pPr>
      <w:r>
        <w:rPr>
          <w:sz w:val="22"/>
          <w:szCs w:val="22"/>
        </w:rPr>
        <w:t xml:space="preserve">9.2.3.6 – Visita técnica, optativa aos interessados, a qual deverá ser feita em até dois dias úteis, antes da data da licitação, mediante agendamento com o Sr. </w:t>
      </w:r>
      <w:proofErr w:type="spellStart"/>
      <w:r>
        <w:rPr>
          <w:sz w:val="22"/>
          <w:szCs w:val="22"/>
        </w:rPr>
        <w:t>Mayke</w:t>
      </w:r>
      <w:proofErr w:type="spellEnd"/>
      <w:r>
        <w:rPr>
          <w:sz w:val="22"/>
          <w:szCs w:val="22"/>
        </w:rPr>
        <w:t xml:space="preserve"> Coelho, pelo telefone 9-9174-1876, conforme ANEXO VII.</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562506" w:rsidRDefault="00B93652" w:rsidP="00B93652">
      <w:pPr>
        <w:pStyle w:val="NormalWeb"/>
        <w:jc w:val="both"/>
        <w:rPr>
          <w:color w:val="000000"/>
          <w:sz w:val="22"/>
          <w:szCs w:val="22"/>
          <w:vertAlign w:val="superscript"/>
        </w:rPr>
      </w:pPr>
      <w:r>
        <w:rPr>
          <w:color w:val="000000"/>
          <w:sz w:val="22"/>
          <w:szCs w:val="22"/>
        </w:rPr>
        <w:t xml:space="preserve">9.3.3 – Garantia, em uma das modalidades previstas na Lei, quais sejam, Caução com títulos da dívida pública, Seguro-garantia ou fiança bancária, nos moldes do art. 56, </w:t>
      </w:r>
      <w:r>
        <w:rPr>
          <w:i/>
          <w:color w:val="000000"/>
          <w:sz w:val="22"/>
          <w:szCs w:val="22"/>
        </w:rPr>
        <w:t xml:space="preserve">“caput”, </w:t>
      </w:r>
      <w:r>
        <w:rPr>
          <w:color w:val="000000"/>
          <w:sz w:val="22"/>
          <w:szCs w:val="22"/>
        </w:rPr>
        <w:t xml:space="preserve">§1 e §3, da Lei 8.666/93, no percentual mínimo de 10% do valor da obra, </w:t>
      </w:r>
      <w:proofErr w:type="gramStart"/>
      <w:r>
        <w:rPr>
          <w:color w:val="000000"/>
          <w:sz w:val="22"/>
          <w:szCs w:val="22"/>
        </w:rPr>
        <w:t>ou seja</w:t>
      </w:r>
      <w:proofErr w:type="gramEnd"/>
      <w:r>
        <w:rPr>
          <w:color w:val="000000"/>
          <w:sz w:val="22"/>
          <w:szCs w:val="22"/>
        </w:rPr>
        <w:t xml:space="preserve"> 10% de R$ 799.904,94. </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lastRenderedPageBreak/>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TOMADA DE PREÇOS N.º 003/2017</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w:t>
      </w:r>
      <w:proofErr w:type="gramStart"/>
      <w:r w:rsidRPr="00CE39DB">
        <w:rPr>
          <w:color w:val="000000"/>
          <w:sz w:val="22"/>
          <w:szCs w:val="22"/>
        </w:rPr>
        <w:t xml:space="preserve">as </w:t>
      </w:r>
      <w:r>
        <w:rPr>
          <w:color w:val="000000"/>
          <w:sz w:val="22"/>
          <w:szCs w:val="22"/>
        </w:rPr>
        <w:t>não</w:t>
      </w:r>
      <w:proofErr w:type="gramEnd"/>
      <w:r>
        <w:rPr>
          <w:color w:val="000000"/>
          <w:sz w:val="22"/>
          <w:szCs w:val="22"/>
        </w:rPr>
        <w:t xml:space="preserve">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12.3.3 – Apresentação de proposta com valores </w:t>
      </w:r>
      <w:proofErr w:type="spellStart"/>
      <w:r>
        <w:rPr>
          <w:color w:val="000000"/>
          <w:sz w:val="22"/>
          <w:szCs w:val="22"/>
        </w:rPr>
        <w:t>inexeqüíveis</w:t>
      </w:r>
      <w:proofErr w:type="spellEnd"/>
      <w:r>
        <w:rPr>
          <w:color w:val="000000"/>
          <w:sz w:val="22"/>
          <w:szCs w:val="22"/>
        </w:rPr>
        <w:t xml:space="preserve">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13.2 – Desta já, fica convencionado a proibição de paralisação dos trabalhos, sob qualquer argumento, sem a devida notificação do MUNICÍPIO, </w:t>
      </w:r>
      <w:proofErr w:type="gramStart"/>
      <w:r>
        <w:rPr>
          <w:bCs/>
          <w:color w:val="000000"/>
          <w:sz w:val="22"/>
          <w:szCs w:val="22"/>
        </w:rPr>
        <w:t>sob pena</w:t>
      </w:r>
      <w:proofErr w:type="gramEnd"/>
      <w:r>
        <w:rPr>
          <w:bCs/>
          <w:color w:val="000000"/>
          <w:sz w:val="22"/>
          <w:szCs w:val="22"/>
        </w:rPr>
        <w:t xml:space="preserve">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14.4 – Não sendo interpostos recursos quanto ao julgamento das propostas, ou decididos os </w:t>
      </w:r>
      <w:r w:rsidRPr="00CE39DB">
        <w:rPr>
          <w:color w:val="000000"/>
          <w:sz w:val="22"/>
          <w:szCs w:val="22"/>
        </w:rPr>
        <w:lastRenderedPageBreak/>
        <w:t>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w:t>
      </w:r>
      <w:r w:rsidRPr="00CE39DB">
        <w:rPr>
          <w:color w:val="000000"/>
          <w:sz w:val="22"/>
          <w:szCs w:val="22"/>
        </w:rPr>
        <w:lastRenderedPageBreak/>
        <w:t>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23 janeiro de 2018</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96C8E"/>
    <w:rsid w:val="000B43AF"/>
    <w:rsid w:val="00113727"/>
    <w:rsid w:val="0011665D"/>
    <w:rsid w:val="00116A91"/>
    <w:rsid w:val="00125349"/>
    <w:rsid w:val="001753A1"/>
    <w:rsid w:val="00196A86"/>
    <w:rsid w:val="001A1CD1"/>
    <w:rsid w:val="001A7FFB"/>
    <w:rsid w:val="001D2EDA"/>
    <w:rsid w:val="001F48D2"/>
    <w:rsid w:val="00217821"/>
    <w:rsid w:val="00236D42"/>
    <w:rsid w:val="0027513F"/>
    <w:rsid w:val="002A7DF8"/>
    <w:rsid w:val="002C472B"/>
    <w:rsid w:val="002E05D5"/>
    <w:rsid w:val="003210FC"/>
    <w:rsid w:val="0032625C"/>
    <w:rsid w:val="00366F1B"/>
    <w:rsid w:val="003671B3"/>
    <w:rsid w:val="003C029F"/>
    <w:rsid w:val="003D751F"/>
    <w:rsid w:val="003E0EB0"/>
    <w:rsid w:val="003E7AFA"/>
    <w:rsid w:val="003F05A9"/>
    <w:rsid w:val="00405605"/>
    <w:rsid w:val="0043093A"/>
    <w:rsid w:val="00440CFF"/>
    <w:rsid w:val="004423EE"/>
    <w:rsid w:val="00452B31"/>
    <w:rsid w:val="004929A9"/>
    <w:rsid w:val="004A11A8"/>
    <w:rsid w:val="004A291B"/>
    <w:rsid w:val="004B132C"/>
    <w:rsid w:val="004B75C6"/>
    <w:rsid w:val="004E64B3"/>
    <w:rsid w:val="00500FF6"/>
    <w:rsid w:val="0050595B"/>
    <w:rsid w:val="00507ED0"/>
    <w:rsid w:val="00562506"/>
    <w:rsid w:val="005633D7"/>
    <w:rsid w:val="00583830"/>
    <w:rsid w:val="005943A4"/>
    <w:rsid w:val="0059652F"/>
    <w:rsid w:val="005A3B2B"/>
    <w:rsid w:val="006231C0"/>
    <w:rsid w:val="00632A17"/>
    <w:rsid w:val="00636255"/>
    <w:rsid w:val="00637AA3"/>
    <w:rsid w:val="00646FD0"/>
    <w:rsid w:val="0065705C"/>
    <w:rsid w:val="00681294"/>
    <w:rsid w:val="006D08AB"/>
    <w:rsid w:val="006D2609"/>
    <w:rsid w:val="006E5AAF"/>
    <w:rsid w:val="006F520F"/>
    <w:rsid w:val="00703900"/>
    <w:rsid w:val="00777FE9"/>
    <w:rsid w:val="007C07E4"/>
    <w:rsid w:val="007C4A0B"/>
    <w:rsid w:val="008421C8"/>
    <w:rsid w:val="00854AC0"/>
    <w:rsid w:val="00864C12"/>
    <w:rsid w:val="00880FF2"/>
    <w:rsid w:val="00890D3F"/>
    <w:rsid w:val="00895AD3"/>
    <w:rsid w:val="008A58EE"/>
    <w:rsid w:val="008D2612"/>
    <w:rsid w:val="008D26D5"/>
    <w:rsid w:val="008D571A"/>
    <w:rsid w:val="008D6093"/>
    <w:rsid w:val="00910817"/>
    <w:rsid w:val="00911FFE"/>
    <w:rsid w:val="00915057"/>
    <w:rsid w:val="00945F7E"/>
    <w:rsid w:val="0098723C"/>
    <w:rsid w:val="00A029CC"/>
    <w:rsid w:val="00A57CD0"/>
    <w:rsid w:val="00AC7B6B"/>
    <w:rsid w:val="00B215A6"/>
    <w:rsid w:val="00B22369"/>
    <w:rsid w:val="00B6748E"/>
    <w:rsid w:val="00B93652"/>
    <w:rsid w:val="00BB4051"/>
    <w:rsid w:val="00BB6283"/>
    <w:rsid w:val="00BB7B92"/>
    <w:rsid w:val="00BC5861"/>
    <w:rsid w:val="00BE37B6"/>
    <w:rsid w:val="00BF0432"/>
    <w:rsid w:val="00BF1E64"/>
    <w:rsid w:val="00BF42F7"/>
    <w:rsid w:val="00C46A26"/>
    <w:rsid w:val="00C47178"/>
    <w:rsid w:val="00C924DB"/>
    <w:rsid w:val="00C93842"/>
    <w:rsid w:val="00C93D14"/>
    <w:rsid w:val="00CC5386"/>
    <w:rsid w:val="00CD3DFE"/>
    <w:rsid w:val="00CE36E3"/>
    <w:rsid w:val="00D06AD7"/>
    <w:rsid w:val="00D112DF"/>
    <w:rsid w:val="00D267AC"/>
    <w:rsid w:val="00D33328"/>
    <w:rsid w:val="00D623CC"/>
    <w:rsid w:val="00D67211"/>
    <w:rsid w:val="00D71885"/>
    <w:rsid w:val="00DC1E80"/>
    <w:rsid w:val="00DD245F"/>
    <w:rsid w:val="00DD372B"/>
    <w:rsid w:val="00E2583D"/>
    <w:rsid w:val="00E41E0E"/>
    <w:rsid w:val="00E626FB"/>
    <w:rsid w:val="00E66423"/>
    <w:rsid w:val="00E74EF6"/>
    <w:rsid w:val="00E839B2"/>
    <w:rsid w:val="00EC0B6C"/>
    <w:rsid w:val="00EC3446"/>
    <w:rsid w:val="00ED1418"/>
    <w:rsid w:val="00F033D7"/>
    <w:rsid w:val="00F04840"/>
    <w:rsid w:val="00F16DCD"/>
    <w:rsid w:val="00F21B2B"/>
    <w:rsid w:val="00F31BAC"/>
    <w:rsid w:val="00F35780"/>
    <w:rsid w:val="00F42986"/>
    <w:rsid w:val="00F54602"/>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12</Pages>
  <Words>5432</Words>
  <Characters>31498</Characters>
  <Application>Microsoft Office Word</Application>
  <DocSecurity>0</DocSecurity>
  <Lines>670</Lines>
  <Paragraphs>218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36712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22</cp:revision>
  <cp:lastPrinted>2013-08-12T13:09:00Z</cp:lastPrinted>
  <dcterms:created xsi:type="dcterms:W3CDTF">2015-11-17T12:55:00Z</dcterms:created>
  <dcterms:modified xsi:type="dcterms:W3CDTF">2018-01-29T16:49:00Z</dcterms:modified>
</cp:coreProperties>
</file>